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1ECC8" w14:textId="5659EDDE"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102BBE" w:rsidRPr="00102BBE">
        <w:rPr>
          <w:sz w:val="32"/>
          <w:szCs w:val="32"/>
        </w:rPr>
        <w:t>R2-1713345</w:t>
      </w:r>
    </w:p>
    <w:p w14:paraId="00A5837C"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8B1E2D1" w14:textId="77777777" w:rsidR="00E90E49" w:rsidRPr="00CE0424" w:rsidRDefault="00E90E49" w:rsidP="00357380">
      <w:pPr>
        <w:pStyle w:val="3GPPHeader"/>
      </w:pPr>
    </w:p>
    <w:p w14:paraId="0B5763AA" w14:textId="01FF38E4"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102BBE" w:rsidRPr="00102BBE">
        <w:rPr>
          <w:sz w:val="22"/>
          <w:szCs w:val="22"/>
          <w:lang w:val="sv-SE"/>
        </w:rPr>
        <w:t>10.4.3.3</w:t>
      </w:r>
    </w:p>
    <w:p w14:paraId="329739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8EDE5A" w14:textId="023FC448" w:rsidR="00E90E49" w:rsidRPr="00102BBE" w:rsidRDefault="003D3C45" w:rsidP="00311702">
      <w:pPr>
        <w:pStyle w:val="3GPPHeader"/>
        <w:rPr>
          <w:sz w:val="22"/>
          <w:szCs w:val="22"/>
        </w:rPr>
      </w:pPr>
      <w:r w:rsidRPr="00102BBE">
        <w:rPr>
          <w:sz w:val="22"/>
          <w:szCs w:val="22"/>
        </w:rPr>
        <w:t>Title:</w:t>
      </w:r>
      <w:r w:rsidR="00E90E49" w:rsidRPr="00102BBE">
        <w:rPr>
          <w:sz w:val="22"/>
          <w:szCs w:val="22"/>
        </w:rPr>
        <w:tab/>
      </w:r>
      <w:r w:rsidR="000E0A76" w:rsidRPr="00102BBE">
        <w:rPr>
          <w:sz w:val="22"/>
          <w:szCs w:val="22"/>
        </w:rPr>
        <w:t xml:space="preserve">On asynchronous </w:t>
      </w:r>
      <w:r w:rsidR="0017597D" w:rsidRPr="00102BBE">
        <w:rPr>
          <w:sz w:val="22"/>
          <w:szCs w:val="22"/>
        </w:rPr>
        <w:t>and synchronous EN-</w:t>
      </w:r>
      <w:r w:rsidR="000E0A76" w:rsidRPr="00102BBE">
        <w:rPr>
          <w:sz w:val="22"/>
          <w:szCs w:val="22"/>
        </w:rPr>
        <w:t>DC operation</w:t>
      </w:r>
    </w:p>
    <w:p w14:paraId="79F5029A" w14:textId="77777777" w:rsidR="00E90E49" w:rsidRPr="00102BBE" w:rsidRDefault="00E90E49" w:rsidP="00D546FF">
      <w:pPr>
        <w:pStyle w:val="3GPPHeader"/>
        <w:rPr>
          <w:sz w:val="22"/>
          <w:szCs w:val="22"/>
        </w:rPr>
      </w:pPr>
      <w:r w:rsidRPr="00102BBE">
        <w:rPr>
          <w:sz w:val="22"/>
          <w:szCs w:val="22"/>
        </w:rPr>
        <w:t>Document for:</w:t>
      </w:r>
      <w:r w:rsidRPr="00102BBE">
        <w:rPr>
          <w:sz w:val="22"/>
          <w:szCs w:val="22"/>
        </w:rPr>
        <w:tab/>
        <w:t>Discussion, Decision</w:t>
      </w:r>
    </w:p>
    <w:p w14:paraId="55DA796F" w14:textId="77777777" w:rsidR="00C24345" w:rsidRPr="00102BBE" w:rsidRDefault="00E90E49" w:rsidP="00A2052C">
      <w:pPr>
        <w:pStyle w:val="Heading1"/>
      </w:pPr>
      <w:r w:rsidRPr="00102BBE">
        <w:t>Introduction</w:t>
      </w:r>
    </w:p>
    <w:p w14:paraId="39718578" w14:textId="718A4F83" w:rsidR="00A2052C" w:rsidRDefault="0017597D" w:rsidP="00A2052C">
      <w:r>
        <w:t>In Rel-12 LTE</w:t>
      </w:r>
      <w:r w:rsidR="000E0A76">
        <w:t xml:space="preserve"> DC, both synchronous and asynchronous operations are supported. Thes</w:t>
      </w:r>
      <w:r>
        <w:t>e two modes of operation impact</w:t>
      </w:r>
      <w:r w:rsidR="000E0A76">
        <w:t xml:space="preserve"> some features like power control, MBMS and UE capabilities.</w:t>
      </w:r>
    </w:p>
    <w:p w14:paraId="531A26E2" w14:textId="77777777" w:rsidR="000E0A76" w:rsidRPr="00A2052C" w:rsidRDefault="000E0A76" w:rsidP="00A2052C">
      <w:r>
        <w:t xml:space="preserve">In Rel-15 EN-DC and NR-NR DC, synchronisation properties have not been discussed in RAN2. RAN4 has discussed the topic and send LS to RAN2 in </w:t>
      </w:r>
      <w:r w:rsidRPr="000E0A76">
        <w:t>R4-1711965</w:t>
      </w:r>
      <w:r>
        <w:t>. Intention of this contribution is to discuss any impacts in RAN2 of RAN4 decisions.</w:t>
      </w:r>
    </w:p>
    <w:p w14:paraId="2D528139" w14:textId="281CB0D2" w:rsidR="004000E8" w:rsidRDefault="004000E8" w:rsidP="00CE0424">
      <w:pPr>
        <w:pStyle w:val="Heading1"/>
      </w:pPr>
      <w:bookmarkStart w:id="0" w:name="_Ref178064866"/>
      <w:r w:rsidRPr="00CE0424">
        <w:t>Discussion</w:t>
      </w:r>
      <w:bookmarkEnd w:id="0"/>
    </w:p>
    <w:p w14:paraId="6FB83517" w14:textId="13C8E75B" w:rsidR="008B4DEB" w:rsidRDefault="008B4DEB" w:rsidP="008B4DEB">
      <w:pPr>
        <w:pStyle w:val="Heading2"/>
      </w:pPr>
      <w:r>
        <w:t>Capabilities</w:t>
      </w:r>
    </w:p>
    <w:p w14:paraId="1D60546B" w14:textId="2CD8918B" w:rsidR="00591671" w:rsidRDefault="00591671" w:rsidP="00591671">
      <w:r>
        <w:t>In Rel-12 DC, synchronous operation is taken as default</w:t>
      </w:r>
      <w:r w:rsidR="00102BBE">
        <w:t xml:space="preserve"> in capabilities</w:t>
      </w:r>
      <w:r>
        <w:t>. In addition, the UE may signal support for asynchronous DC</w:t>
      </w:r>
      <w:r w:rsidR="0035538A">
        <w:t xml:space="preserve"> by parameter </w:t>
      </w:r>
      <w:r w:rsidR="0035538A" w:rsidRPr="0035538A">
        <w:rPr>
          <w:rFonts w:eastAsia="SimSun"/>
          <w:lang w:val="en-US"/>
        </w:rPr>
        <w:t>asynchronous-r12</w:t>
      </w:r>
      <w:r>
        <w:t xml:space="preserve">. If the UE does not signal separate </w:t>
      </w:r>
      <w:r w:rsidR="0035538A">
        <w:t xml:space="preserve">cell grouping support by </w:t>
      </w:r>
      <w:r w:rsidR="0035538A">
        <w:rPr>
          <w:rFonts w:eastAsia="SimSun"/>
          <w:lang w:val="en-US"/>
        </w:rPr>
        <w:t>supportedCellGrouping-r12</w:t>
      </w:r>
      <w:r>
        <w:t>, it supports all cell groupings.</w:t>
      </w:r>
      <w:r w:rsidR="0035538A">
        <w:t xml:space="preserve"> With </w:t>
      </w:r>
      <w:r w:rsidR="0035538A" w:rsidRPr="0035538A">
        <w:rPr>
          <w:rFonts w:eastAsia="SimSun"/>
          <w:lang w:val="en-US"/>
        </w:rPr>
        <w:t>supportedCellGrouping-r12</w:t>
      </w:r>
      <w:r w:rsidR="0035538A">
        <w:rPr>
          <w:rFonts w:eastAsia="SimSun"/>
          <w:lang w:val="en-US"/>
        </w:rPr>
        <w:t xml:space="preserve">, </w:t>
      </w:r>
      <w:r w:rsidR="00102BBE">
        <w:rPr>
          <w:rFonts w:eastAsia="SimSun"/>
          <w:lang w:val="en-US"/>
        </w:rPr>
        <w:t>UE</w:t>
      </w:r>
      <w:r w:rsidR="0035538A">
        <w:rPr>
          <w:rFonts w:eastAsia="SimSun"/>
          <w:lang w:val="en-US"/>
        </w:rPr>
        <w:t xml:space="preserve"> can indicate further which cells can be asynchronous as compared to others.</w:t>
      </w:r>
      <w:r>
        <w:t xml:space="preserve"> </w:t>
      </w:r>
      <w:r w:rsidR="0035538A">
        <w:t>When the num</w:t>
      </w:r>
      <w:r>
        <w:t>ber of cells increase</w:t>
      </w:r>
      <w:r w:rsidR="0035538A">
        <w:t>s</w:t>
      </w:r>
      <w:r>
        <w:t xml:space="preserve">, </w:t>
      </w:r>
      <w:r w:rsidR="0035538A">
        <w:t xml:space="preserve">the </w:t>
      </w:r>
      <w:r>
        <w:t>amount of cell groupings as well as overhead increase</w:t>
      </w:r>
      <w:r w:rsidR="0035538A">
        <w:t>s</w:t>
      </w:r>
      <w:r>
        <w:t>. It would be good to avoid such detailed grouping for EN-DC.</w:t>
      </w:r>
    </w:p>
    <w:p w14:paraId="45A9EC2A" w14:textId="020C5EFA" w:rsidR="0035538A" w:rsidRDefault="0035538A" w:rsidP="00591671"/>
    <w:p w14:paraId="2D4D8067" w14:textId="77777777" w:rsidR="0035538A" w:rsidRPr="0035538A" w:rsidRDefault="0035538A" w:rsidP="0035538A">
      <w:pPr>
        <w:pStyle w:val="PL"/>
        <w:shd w:val="clear" w:color="auto" w:fill="E6E6E6"/>
        <w:rPr>
          <w:lang w:val="en-US" w:eastAsia="zh-CN"/>
        </w:rPr>
      </w:pPr>
      <w:r w:rsidRPr="0035538A">
        <w:rPr>
          <w:lang w:val="en-US"/>
        </w:rPr>
        <w:t xml:space="preserve">BandCombinationParameters-v1250::= </w:t>
      </w:r>
      <w:r w:rsidRPr="0035538A">
        <w:rPr>
          <w:lang w:val="en-US" w:eastAsia="zh-CN"/>
        </w:rPr>
        <w:t>SEQUENCE {</w:t>
      </w:r>
    </w:p>
    <w:p w14:paraId="1143BB53"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t>dc-Support-r12</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SEQUENCE {</w:t>
      </w:r>
    </w:p>
    <w:p w14:paraId="6E7612B3"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r>
      <w:r w:rsidRPr="0035538A">
        <w:rPr>
          <w:rFonts w:eastAsia="SimSun"/>
          <w:lang w:val="en-US" w:eastAsia="zh-CN"/>
        </w:rPr>
        <w:tab/>
        <w:t>asynchronous-r12</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ENUMERATED {supported}</w:t>
      </w:r>
      <w:r w:rsidRPr="0035538A">
        <w:rPr>
          <w:rFonts w:eastAsia="SimSun"/>
          <w:lang w:val="en-US" w:eastAsia="zh-CN"/>
        </w:rPr>
        <w:tab/>
      </w:r>
      <w:r w:rsidRPr="0035538A">
        <w:rPr>
          <w:rFonts w:eastAsia="SimSun"/>
          <w:lang w:val="en-US" w:eastAsia="zh-CN"/>
        </w:rPr>
        <w:tab/>
      </w:r>
      <w:r w:rsidRPr="0035538A">
        <w:rPr>
          <w:rFonts w:eastAsia="SimSun"/>
          <w:lang w:val="en-US" w:eastAsia="zh-CN"/>
        </w:rPr>
        <w:tab/>
        <w:t>OPTIONAL,</w:t>
      </w:r>
    </w:p>
    <w:p w14:paraId="42B85C08"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r>
      <w:r w:rsidRPr="0035538A">
        <w:rPr>
          <w:rFonts w:eastAsia="SimSun"/>
          <w:lang w:val="en-US" w:eastAsia="zh-CN"/>
        </w:rPr>
        <w:tab/>
        <w:t>supportedCellGrouping-r12</w:t>
      </w:r>
      <w:r w:rsidRPr="0035538A">
        <w:rPr>
          <w:rFonts w:eastAsia="SimSun"/>
          <w:lang w:val="en-US" w:eastAsia="zh-CN"/>
        </w:rPr>
        <w:tab/>
      </w:r>
      <w:r w:rsidRPr="0035538A">
        <w:rPr>
          <w:rFonts w:eastAsia="SimSun"/>
          <w:lang w:val="en-US" w:eastAsia="zh-CN"/>
        </w:rPr>
        <w:tab/>
        <w:t>CHOICE {</w:t>
      </w:r>
    </w:p>
    <w:p w14:paraId="35AF7440"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threeEntries-r12</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BIT STRING (SIZE(3)),</w:t>
      </w:r>
    </w:p>
    <w:p w14:paraId="270B90D2"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fourEntries-r12</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BIT STRING (SIZE(7)),</w:t>
      </w:r>
    </w:p>
    <w:p w14:paraId="01BF8C67"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fiveEntries-r12</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BIT STRING (SIZE(15))</w:t>
      </w:r>
    </w:p>
    <w:p w14:paraId="2C7A032B"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r>
      <w:r w:rsidRPr="0035538A">
        <w:rPr>
          <w:rFonts w:eastAsia="SimSun"/>
          <w:lang w:val="en-US" w:eastAsia="zh-CN"/>
        </w:rPr>
        <w:tab/>
        <w:t>}</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OPTIONAL</w:t>
      </w:r>
    </w:p>
    <w:p w14:paraId="5FD8417E" w14:textId="77777777" w:rsidR="0035538A" w:rsidRPr="0035538A" w:rsidRDefault="0035538A" w:rsidP="0035538A">
      <w:pPr>
        <w:pStyle w:val="PL"/>
        <w:shd w:val="clear" w:color="auto" w:fill="E6E6E6"/>
        <w:rPr>
          <w:rFonts w:eastAsia="SimSun"/>
          <w:lang w:val="en-US" w:eastAsia="zh-CN"/>
        </w:rPr>
      </w:pPr>
      <w:r w:rsidRPr="0035538A">
        <w:rPr>
          <w:rFonts w:eastAsia="SimSun"/>
          <w:lang w:val="en-US" w:eastAsia="zh-CN"/>
        </w:rPr>
        <w:tab/>
        <w:t>}</w:t>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r>
      <w:r w:rsidRPr="0035538A">
        <w:rPr>
          <w:rFonts w:eastAsia="SimSun"/>
          <w:lang w:val="en-US" w:eastAsia="zh-CN"/>
        </w:rPr>
        <w:tab/>
        <w:t>OPTIONAL,</w:t>
      </w:r>
    </w:p>
    <w:p w14:paraId="06556A73" w14:textId="77777777" w:rsidR="0035538A" w:rsidRPr="0035538A" w:rsidRDefault="0035538A" w:rsidP="0035538A">
      <w:pPr>
        <w:pStyle w:val="PL"/>
        <w:shd w:val="clear" w:color="auto" w:fill="E6E6E6"/>
        <w:rPr>
          <w:lang w:val="en-US"/>
        </w:rPr>
      </w:pPr>
      <w:r w:rsidRPr="0035538A">
        <w:rPr>
          <w:rFonts w:eastAsia="SimSun"/>
          <w:lang w:val="en-US" w:eastAsia="zh-CN"/>
        </w:rPr>
        <w:tab/>
        <w:t>supportedNAICS-2CRS-AP-r12</w:t>
      </w:r>
      <w:r w:rsidRPr="0035538A">
        <w:rPr>
          <w:rFonts w:eastAsia="SimSun"/>
          <w:lang w:val="en-US" w:eastAsia="zh-CN"/>
        </w:rPr>
        <w:tab/>
      </w:r>
      <w:r w:rsidRPr="0035538A">
        <w:rPr>
          <w:rFonts w:eastAsia="SimSun"/>
          <w:lang w:val="en-US" w:eastAsia="zh-CN"/>
        </w:rPr>
        <w:tab/>
      </w:r>
      <w:r w:rsidRPr="0035538A">
        <w:rPr>
          <w:lang w:val="en-US"/>
        </w:rPr>
        <w:t>BIT STRING (SIZE (1..maxNAICS-Entries-r12))</w:t>
      </w:r>
      <w:r w:rsidRPr="0035538A">
        <w:rPr>
          <w:lang w:val="en-US"/>
        </w:rPr>
        <w:tab/>
      </w:r>
      <w:r w:rsidRPr="0035538A">
        <w:rPr>
          <w:lang w:val="en-US"/>
        </w:rPr>
        <w:tab/>
      </w:r>
      <w:r w:rsidRPr="0035538A">
        <w:rPr>
          <w:rFonts w:eastAsia="SimSun"/>
          <w:lang w:val="en-US" w:eastAsia="zh-CN"/>
        </w:rPr>
        <w:t>OPTIONAL,</w:t>
      </w:r>
    </w:p>
    <w:p w14:paraId="15E171EE" w14:textId="77777777" w:rsidR="0035538A" w:rsidRPr="00627D68" w:rsidRDefault="0035538A" w:rsidP="0035538A">
      <w:pPr>
        <w:pStyle w:val="PL"/>
        <w:shd w:val="clear" w:color="auto" w:fill="E6E6E6"/>
      </w:pPr>
      <w:r w:rsidRPr="0035538A">
        <w:rPr>
          <w:lang w:val="en-US"/>
        </w:rPr>
        <w:tab/>
        <w:t>commSupportedBandsPerBC-r12</w:t>
      </w:r>
      <w:r w:rsidRPr="0035538A">
        <w:rPr>
          <w:lang w:val="en-US"/>
        </w:rPr>
        <w:tab/>
      </w:r>
      <w:r w:rsidRPr="0035538A">
        <w:rPr>
          <w:lang w:val="en-US"/>
        </w:rPr>
        <w:tab/>
      </w:r>
      <w:r w:rsidRPr="0035538A">
        <w:rPr>
          <w:lang w:val="en-US"/>
        </w:rPr>
        <w:tab/>
      </w:r>
      <w:r w:rsidRPr="0035538A">
        <w:rPr>
          <w:lang w:val="en-US"/>
        </w:rPr>
        <w:tab/>
        <w:t xml:space="preserve">BIT STRING (SIZE (1.. </w:t>
      </w:r>
      <w:r w:rsidRPr="00627D68">
        <w:t>maxBands))</w:t>
      </w:r>
      <w:r w:rsidRPr="00627D68">
        <w:tab/>
      </w:r>
      <w:r w:rsidRPr="00627D68">
        <w:tab/>
      </w:r>
      <w:r w:rsidRPr="00627D68">
        <w:rPr>
          <w:rFonts w:eastAsia="SimSun"/>
          <w:lang w:eastAsia="zh-CN"/>
        </w:rPr>
        <w:t>OPTIONAL</w:t>
      </w:r>
      <w:r w:rsidRPr="00627D68">
        <w:t>,</w:t>
      </w:r>
    </w:p>
    <w:p w14:paraId="04DC7B20" w14:textId="77777777" w:rsidR="0035538A" w:rsidRPr="00627D68" w:rsidRDefault="0035538A" w:rsidP="0035538A">
      <w:pPr>
        <w:pStyle w:val="PL"/>
        <w:shd w:val="clear" w:color="auto" w:fill="E6E6E6"/>
        <w:rPr>
          <w:lang w:eastAsia="zh-CN"/>
        </w:rPr>
      </w:pPr>
      <w:r w:rsidRPr="00627D68">
        <w:rPr>
          <w:rFonts w:eastAsia="SimSun"/>
          <w:lang w:eastAsia="zh-CN"/>
        </w:rPr>
        <w:tab/>
      </w:r>
      <w:r w:rsidRPr="00627D68">
        <w:t>...</w:t>
      </w:r>
    </w:p>
    <w:p w14:paraId="196C2EED" w14:textId="77777777" w:rsidR="0035538A" w:rsidRPr="00627D68" w:rsidRDefault="0035538A" w:rsidP="0035538A">
      <w:pPr>
        <w:pStyle w:val="PL"/>
        <w:shd w:val="clear" w:color="auto" w:fill="E6E6E6"/>
        <w:rPr>
          <w:lang w:eastAsia="zh-CN"/>
        </w:rPr>
      </w:pPr>
      <w:r w:rsidRPr="00627D68">
        <w:rPr>
          <w:lang w:eastAsia="zh-CN"/>
        </w:rPr>
        <w:t>}</w:t>
      </w:r>
    </w:p>
    <w:p w14:paraId="2FA448F4" w14:textId="77777777" w:rsidR="0035538A" w:rsidRPr="00591671" w:rsidRDefault="0035538A" w:rsidP="00591671"/>
    <w:p w14:paraId="51B3A7DE" w14:textId="15298FEB" w:rsidR="0003436E" w:rsidRDefault="0003436E" w:rsidP="008B4DEB">
      <w:pPr>
        <w:pStyle w:val="Heading3"/>
      </w:pPr>
      <w:r>
        <w:t>Inter-band LTE-NR Dual Connectivity</w:t>
      </w:r>
    </w:p>
    <w:p w14:paraId="5134285F" w14:textId="49D028A2" w:rsidR="000E0A76" w:rsidRDefault="000E0A76" w:rsidP="000E0A76">
      <w:pPr>
        <w:rPr>
          <w:rFonts w:cs="Arial"/>
        </w:rPr>
      </w:pPr>
      <w:r>
        <w:rPr>
          <w:rFonts w:cs="Arial"/>
        </w:rPr>
        <w:t>RAN4 agreed on the following:</w:t>
      </w:r>
    </w:p>
    <w:p w14:paraId="58FD94FC" w14:textId="77777777" w:rsidR="000E0A76" w:rsidRPr="0017597D" w:rsidRDefault="000E0A76" w:rsidP="000E0A76">
      <w:pPr>
        <w:numPr>
          <w:ilvl w:val="0"/>
          <w:numId w:val="16"/>
        </w:numPr>
        <w:overflowPunct/>
        <w:autoSpaceDE/>
        <w:autoSpaceDN/>
        <w:adjustRightInd/>
        <w:spacing w:after="0"/>
        <w:textAlignment w:val="auto"/>
        <w:rPr>
          <w:i/>
          <w:lang w:val="en-US"/>
        </w:rPr>
      </w:pPr>
      <w:r w:rsidRPr="0017597D">
        <w:rPr>
          <w:i/>
        </w:rPr>
        <w:t xml:space="preserve">For Inter-band LTE-NR dual connectivity, all UE supports asynchronous DC between LTE and NR. </w:t>
      </w:r>
      <w:r w:rsidRPr="0017597D">
        <w:rPr>
          <w:i/>
          <w:lang w:val="en-US"/>
        </w:rPr>
        <w:t>Asynchronous here refers to subframe/slot timing boundary alignment</w:t>
      </w:r>
    </w:p>
    <w:p w14:paraId="13496489" w14:textId="77777777" w:rsidR="000E0A76" w:rsidRPr="0017597D" w:rsidRDefault="000E0A76" w:rsidP="000E0A76">
      <w:pPr>
        <w:numPr>
          <w:ilvl w:val="0"/>
          <w:numId w:val="16"/>
        </w:numPr>
        <w:overflowPunct/>
        <w:autoSpaceDE/>
        <w:autoSpaceDN/>
        <w:adjustRightInd/>
        <w:spacing w:after="0"/>
        <w:textAlignment w:val="auto"/>
        <w:rPr>
          <w:i/>
        </w:rPr>
      </w:pPr>
      <w:r w:rsidRPr="0017597D">
        <w:rPr>
          <w:i/>
        </w:rPr>
        <w:t>For inter-band LTE-NR dual connectivity, following MRTD and MTTD is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2776"/>
        <w:gridCol w:w="2977"/>
      </w:tblGrid>
      <w:tr w:rsidR="000E0A76" w:rsidRPr="0017597D" w14:paraId="52989817" w14:textId="77777777" w:rsidTr="006A35EE">
        <w:tc>
          <w:tcPr>
            <w:tcW w:w="1643" w:type="dxa"/>
            <w:shd w:val="clear" w:color="auto" w:fill="auto"/>
          </w:tcPr>
          <w:p w14:paraId="01A29F36" w14:textId="77777777" w:rsidR="000E0A76" w:rsidRPr="0017597D" w:rsidRDefault="000E0A76" w:rsidP="006A35EE">
            <w:pPr>
              <w:jc w:val="center"/>
              <w:rPr>
                <w:i/>
              </w:rPr>
            </w:pPr>
            <w:r w:rsidRPr="0017597D">
              <w:rPr>
                <w:i/>
              </w:rPr>
              <w:lastRenderedPageBreak/>
              <w:t>LTE PCell SCS (kHz)</w:t>
            </w:r>
          </w:p>
        </w:tc>
        <w:tc>
          <w:tcPr>
            <w:tcW w:w="1643" w:type="dxa"/>
            <w:shd w:val="clear" w:color="auto" w:fill="auto"/>
          </w:tcPr>
          <w:p w14:paraId="56C27A03" w14:textId="77777777" w:rsidR="000E0A76" w:rsidRPr="0017597D" w:rsidRDefault="000E0A76" w:rsidP="006A35EE">
            <w:pPr>
              <w:jc w:val="center"/>
              <w:rPr>
                <w:i/>
              </w:rPr>
            </w:pPr>
            <w:r w:rsidRPr="0017597D">
              <w:rPr>
                <w:i/>
              </w:rPr>
              <w:t>NR PSCell SCS (kHz)</w:t>
            </w:r>
          </w:p>
        </w:tc>
        <w:tc>
          <w:tcPr>
            <w:tcW w:w="2776" w:type="dxa"/>
            <w:shd w:val="clear" w:color="auto" w:fill="auto"/>
          </w:tcPr>
          <w:p w14:paraId="7DCFA30C" w14:textId="77777777" w:rsidR="000E0A76" w:rsidRPr="0017597D" w:rsidRDefault="000E0A76" w:rsidP="006A35EE">
            <w:pPr>
              <w:jc w:val="center"/>
              <w:rPr>
                <w:i/>
              </w:rPr>
            </w:pPr>
            <w:r w:rsidRPr="0017597D">
              <w:rPr>
                <w:i/>
              </w:rPr>
              <w:t>Maximum receive timing difference, MRTD (</w:t>
            </w:r>
            <w:r w:rsidRPr="0017597D">
              <w:rPr>
                <w:i/>
                <w:szCs w:val="22"/>
              </w:rPr>
              <w:t>µs</w:t>
            </w:r>
            <w:r w:rsidRPr="0017597D">
              <w:rPr>
                <w:i/>
              </w:rPr>
              <w:t>) for asynchronous operation</w:t>
            </w:r>
          </w:p>
        </w:tc>
        <w:tc>
          <w:tcPr>
            <w:tcW w:w="2977" w:type="dxa"/>
            <w:shd w:val="clear" w:color="auto" w:fill="auto"/>
          </w:tcPr>
          <w:p w14:paraId="21AF067C" w14:textId="77777777" w:rsidR="000E0A76" w:rsidRPr="0017597D" w:rsidRDefault="000E0A76" w:rsidP="006A35EE">
            <w:pPr>
              <w:jc w:val="center"/>
              <w:rPr>
                <w:i/>
              </w:rPr>
            </w:pPr>
            <w:r w:rsidRPr="0017597D">
              <w:rPr>
                <w:i/>
              </w:rPr>
              <w:t>Maximum transmission timing difference, MTTD (</w:t>
            </w:r>
            <w:r w:rsidRPr="0017597D">
              <w:rPr>
                <w:i/>
                <w:szCs w:val="22"/>
              </w:rPr>
              <w:t>µs</w:t>
            </w:r>
            <w:r w:rsidRPr="0017597D">
              <w:rPr>
                <w:i/>
              </w:rPr>
              <w:t>) for asynchronous operation</w:t>
            </w:r>
          </w:p>
        </w:tc>
      </w:tr>
      <w:tr w:rsidR="000E0A76" w:rsidRPr="0017597D" w14:paraId="13952D26" w14:textId="77777777" w:rsidTr="006A35EE">
        <w:tc>
          <w:tcPr>
            <w:tcW w:w="1643" w:type="dxa"/>
            <w:shd w:val="clear" w:color="auto" w:fill="auto"/>
          </w:tcPr>
          <w:p w14:paraId="430F8A6A" w14:textId="77777777" w:rsidR="000E0A76" w:rsidRPr="0017597D" w:rsidRDefault="000E0A76" w:rsidP="006A35EE">
            <w:pPr>
              <w:jc w:val="center"/>
              <w:rPr>
                <w:i/>
              </w:rPr>
            </w:pPr>
            <w:r w:rsidRPr="0017597D">
              <w:rPr>
                <w:i/>
              </w:rPr>
              <w:t>15</w:t>
            </w:r>
          </w:p>
        </w:tc>
        <w:tc>
          <w:tcPr>
            <w:tcW w:w="1643" w:type="dxa"/>
            <w:shd w:val="clear" w:color="auto" w:fill="auto"/>
          </w:tcPr>
          <w:p w14:paraId="463DD91A" w14:textId="77777777" w:rsidR="000E0A76" w:rsidRPr="0017597D" w:rsidRDefault="000E0A76" w:rsidP="006A35EE">
            <w:pPr>
              <w:jc w:val="center"/>
              <w:rPr>
                <w:i/>
              </w:rPr>
            </w:pPr>
            <w:r w:rsidRPr="0017597D">
              <w:rPr>
                <w:i/>
              </w:rPr>
              <w:t>15</w:t>
            </w:r>
          </w:p>
        </w:tc>
        <w:tc>
          <w:tcPr>
            <w:tcW w:w="2776" w:type="dxa"/>
            <w:shd w:val="clear" w:color="auto" w:fill="auto"/>
          </w:tcPr>
          <w:p w14:paraId="4DBE970E" w14:textId="77777777" w:rsidR="000E0A76" w:rsidRPr="0017597D" w:rsidRDefault="000E0A76" w:rsidP="006A35EE">
            <w:pPr>
              <w:jc w:val="center"/>
              <w:rPr>
                <w:i/>
              </w:rPr>
            </w:pPr>
            <w:r w:rsidRPr="0017597D">
              <w:rPr>
                <w:i/>
              </w:rPr>
              <w:t>500</w:t>
            </w:r>
          </w:p>
        </w:tc>
        <w:tc>
          <w:tcPr>
            <w:tcW w:w="2977" w:type="dxa"/>
            <w:shd w:val="clear" w:color="auto" w:fill="auto"/>
          </w:tcPr>
          <w:p w14:paraId="23B5E169" w14:textId="77777777" w:rsidR="000E0A76" w:rsidRPr="0017597D" w:rsidRDefault="000E0A76" w:rsidP="006A35EE">
            <w:pPr>
              <w:jc w:val="center"/>
              <w:rPr>
                <w:i/>
              </w:rPr>
            </w:pPr>
            <w:r w:rsidRPr="0017597D">
              <w:rPr>
                <w:i/>
              </w:rPr>
              <w:t>500</w:t>
            </w:r>
          </w:p>
        </w:tc>
      </w:tr>
      <w:tr w:rsidR="000E0A76" w:rsidRPr="0017597D" w14:paraId="3918DC8D" w14:textId="77777777" w:rsidTr="006A35EE">
        <w:tc>
          <w:tcPr>
            <w:tcW w:w="1643" w:type="dxa"/>
            <w:shd w:val="clear" w:color="auto" w:fill="auto"/>
          </w:tcPr>
          <w:p w14:paraId="5CF1C087" w14:textId="77777777" w:rsidR="000E0A76" w:rsidRPr="0017597D" w:rsidRDefault="000E0A76" w:rsidP="006A35EE">
            <w:pPr>
              <w:jc w:val="center"/>
              <w:rPr>
                <w:i/>
              </w:rPr>
            </w:pPr>
            <w:r w:rsidRPr="0017597D">
              <w:rPr>
                <w:i/>
              </w:rPr>
              <w:t>15</w:t>
            </w:r>
          </w:p>
        </w:tc>
        <w:tc>
          <w:tcPr>
            <w:tcW w:w="1643" w:type="dxa"/>
            <w:shd w:val="clear" w:color="auto" w:fill="auto"/>
          </w:tcPr>
          <w:p w14:paraId="4173DDF3" w14:textId="77777777" w:rsidR="000E0A76" w:rsidRPr="0017597D" w:rsidRDefault="000E0A76" w:rsidP="006A35EE">
            <w:pPr>
              <w:jc w:val="center"/>
              <w:rPr>
                <w:i/>
              </w:rPr>
            </w:pPr>
            <w:r w:rsidRPr="0017597D">
              <w:rPr>
                <w:i/>
              </w:rPr>
              <w:t>30</w:t>
            </w:r>
          </w:p>
        </w:tc>
        <w:tc>
          <w:tcPr>
            <w:tcW w:w="2776" w:type="dxa"/>
            <w:shd w:val="clear" w:color="auto" w:fill="auto"/>
          </w:tcPr>
          <w:p w14:paraId="15168421" w14:textId="77777777" w:rsidR="000E0A76" w:rsidRPr="0017597D" w:rsidRDefault="000E0A76" w:rsidP="006A35EE">
            <w:pPr>
              <w:jc w:val="center"/>
              <w:rPr>
                <w:i/>
              </w:rPr>
            </w:pPr>
            <w:r w:rsidRPr="0017597D">
              <w:rPr>
                <w:i/>
              </w:rPr>
              <w:t>250</w:t>
            </w:r>
          </w:p>
        </w:tc>
        <w:tc>
          <w:tcPr>
            <w:tcW w:w="2977" w:type="dxa"/>
            <w:shd w:val="clear" w:color="auto" w:fill="auto"/>
          </w:tcPr>
          <w:p w14:paraId="1BD79918" w14:textId="77777777" w:rsidR="000E0A76" w:rsidRPr="0017597D" w:rsidRDefault="000E0A76" w:rsidP="006A35EE">
            <w:pPr>
              <w:jc w:val="center"/>
              <w:rPr>
                <w:i/>
              </w:rPr>
            </w:pPr>
            <w:r w:rsidRPr="0017597D">
              <w:rPr>
                <w:i/>
              </w:rPr>
              <w:t>250</w:t>
            </w:r>
          </w:p>
        </w:tc>
      </w:tr>
      <w:tr w:rsidR="000E0A76" w:rsidRPr="0017597D" w14:paraId="37FCF418" w14:textId="77777777" w:rsidTr="006A35EE">
        <w:tc>
          <w:tcPr>
            <w:tcW w:w="1643" w:type="dxa"/>
            <w:shd w:val="clear" w:color="auto" w:fill="auto"/>
          </w:tcPr>
          <w:p w14:paraId="09D1D4DC" w14:textId="77777777" w:rsidR="000E0A76" w:rsidRPr="0017597D" w:rsidRDefault="000E0A76" w:rsidP="006A35EE">
            <w:pPr>
              <w:jc w:val="center"/>
              <w:rPr>
                <w:i/>
              </w:rPr>
            </w:pPr>
            <w:r w:rsidRPr="0017597D">
              <w:rPr>
                <w:i/>
              </w:rPr>
              <w:t>15</w:t>
            </w:r>
          </w:p>
        </w:tc>
        <w:tc>
          <w:tcPr>
            <w:tcW w:w="1643" w:type="dxa"/>
            <w:shd w:val="clear" w:color="auto" w:fill="auto"/>
          </w:tcPr>
          <w:p w14:paraId="51DFA1E9" w14:textId="77777777" w:rsidR="000E0A76" w:rsidRPr="0017597D" w:rsidRDefault="000E0A76" w:rsidP="006A35EE">
            <w:pPr>
              <w:jc w:val="center"/>
              <w:rPr>
                <w:i/>
              </w:rPr>
            </w:pPr>
            <w:r w:rsidRPr="0017597D">
              <w:rPr>
                <w:i/>
              </w:rPr>
              <w:t>60</w:t>
            </w:r>
          </w:p>
        </w:tc>
        <w:tc>
          <w:tcPr>
            <w:tcW w:w="2776" w:type="dxa"/>
            <w:shd w:val="clear" w:color="auto" w:fill="auto"/>
          </w:tcPr>
          <w:p w14:paraId="0B534502" w14:textId="77777777" w:rsidR="000E0A76" w:rsidRPr="0017597D" w:rsidRDefault="000E0A76" w:rsidP="006A35EE">
            <w:pPr>
              <w:jc w:val="center"/>
              <w:rPr>
                <w:i/>
              </w:rPr>
            </w:pPr>
            <w:r w:rsidRPr="0017597D">
              <w:rPr>
                <w:i/>
              </w:rPr>
              <w:t>125</w:t>
            </w:r>
          </w:p>
        </w:tc>
        <w:tc>
          <w:tcPr>
            <w:tcW w:w="2977" w:type="dxa"/>
            <w:shd w:val="clear" w:color="auto" w:fill="auto"/>
          </w:tcPr>
          <w:p w14:paraId="148B1DA5" w14:textId="77777777" w:rsidR="000E0A76" w:rsidRPr="0017597D" w:rsidRDefault="000E0A76" w:rsidP="006A35EE">
            <w:pPr>
              <w:jc w:val="center"/>
              <w:rPr>
                <w:i/>
              </w:rPr>
            </w:pPr>
            <w:r w:rsidRPr="0017597D">
              <w:rPr>
                <w:i/>
              </w:rPr>
              <w:t>125</w:t>
            </w:r>
          </w:p>
        </w:tc>
      </w:tr>
      <w:tr w:rsidR="000E0A76" w:rsidRPr="0017597D" w14:paraId="376763BF" w14:textId="77777777" w:rsidTr="006A35EE">
        <w:tc>
          <w:tcPr>
            <w:tcW w:w="1643" w:type="dxa"/>
            <w:shd w:val="clear" w:color="auto" w:fill="auto"/>
          </w:tcPr>
          <w:p w14:paraId="7E2D1C8C" w14:textId="77777777" w:rsidR="000E0A76" w:rsidRPr="0017597D" w:rsidRDefault="000E0A76" w:rsidP="006A35EE">
            <w:pPr>
              <w:jc w:val="center"/>
              <w:rPr>
                <w:i/>
              </w:rPr>
            </w:pPr>
            <w:r w:rsidRPr="0017597D">
              <w:rPr>
                <w:i/>
              </w:rPr>
              <w:t>15</w:t>
            </w:r>
          </w:p>
        </w:tc>
        <w:tc>
          <w:tcPr>
            <w:tcW w:w="1643" w:type="dxa"/>
            <w:shd w:val="clear" w:color="auto" w:fill="auto"/>
          </w:tcPr>
          <w:p w14:paraId="23AD3347" w14:textId="77777777" w:rsidR="000E0A76" w:rsidRPr="0017597D" w:rsidRDefault="000E0A76" w:rsidP="006A35EE">
            <w:pPr>
              <w:jc w:val="center"/>
              <w:rPr>
                <w:i/>
              </w:rPr>
            </w:pPr>
            <w:r w:rsidRPr="0017597D">
              <w:rPr>
                <w:i/>
              </w:rPr>
              <w:t>120</w:t>
            </w:r>
          </w:p>
        </w:tc>
        <w:tc>
          <w:tcPr>
            <w:tcW w:w="2776" w:type="dxa"/>
            <w:shd w:val="clear" w:color="auto" w:fill="auto"/>
          </w:tcPr>
          <w:p w14:paraId="4694ED8E" w14:textId="77777777" w:rsidR="000E0A76" w:rsidRPr="0017597D" w:rsidRDefault="000E0A76" w:rsidP="006A35EE">
            <w:pPr>
              <w:jc w:val="center"/>
              <w:rPr>
                <w:i/>
              </w:rPr>
            </w:pPr>
            <w:r w:rsidRPr="0017597D">
              <w:rPr>
                <w:i/>
              </w:rPr>
              <w:t>62.5</w:t>
            </w:r>
          </w:p>
        </w:tc>
        <w:tc>
          <w:tcPr>
            <w:tcW w:w="2977" w:type="dxa"/>
            <w:shd w:val="clear" w:color="auto" w:fill="auto"/>
          </w:tcPr>
          <w:p w14:paraId="5A6A345B" w14:textId="77777777" w:rsidR="000E0A76" w:rsidRPr="0017597D" w:rsidRDefault="000E0A76" w:rsidP="006A35EE">
            <w:pPr>
              <w:jc w:val="center"/>
              <w:rPr>
                <w:i/>
              </w:rPr>
            </w:pPr>
            <w:r w:rsidRPr="0017597D">
              <w:rPr>
                <w:i/>
              </w:rPr>
              <w:t>62.5</w:t>
            </w:r>
          </w:p>
        </w:tc>
      </w:tr>
    </w:tbl>
    <w:p w14:paraId="146A6451" w14:textId="77777777" w:rsidR="000E0A76" w:rsidRPr="0017597D" w:rsidRDefault="000E0A76" w:rsidP="000E0A76">
      <w:pPr>
        <w:rPr>
          <w:i/>
        </w:rPr>
      </w:pPr>
    </w:p>
    <w:p w14:paraId="5097274E" w14:textId="77777777" w:rsidR="000E0A76" w:rsidRPr="0017597D" w:rsidRDefault="000E0A76" w:rsidP="000E0A76">
      <w:pPr>
        <w:numPr>
          <w:ilvl w:val="0"/>
          <w:numId w:val="17"/>
        </w:numPr>
        <w:overflowPunct/>
        <w:autoSpaceDE/>
        <w:autoSpaceDN/>
        <w:adjustRightInd/>
        <w:spacing w:after="0"/>
        <w:textAlignment w:val="auto"/>
        <w:rPr>
          <w:i/>
        </w:rPr>
      </w:pPr>
      <w:r w:rsidRPr="0017597D">
        <w:rPr>
          <w:i/>
        </w:rPr>
        <w:t>For Inter-band TDD-TDD (PCell-PSCell) and inter-band TDD-FDD (PCell-PSCell or PSCell-PCell) combinations,</w:t>
      </w:r>
    </w:p>
    <w:p w14:paraId="51CBB7CC" w14:textId="09A84509" w:rsidR="000E0A76" w:rsidRPr="0017597D" w:rsidRDefault="000E0A76" w:rsidP="000E0A76">
      <w:pPr>
        <w:numPr>
          <w:ilvl w:val="1"/>
          <w:numId w:val="17"/>
        </w:numPr>
        <w:overflowPunct/>
        <w:autoSpaceDE/>
        <w:autoSpaceDN/>
        <w:adjustRightInd/>
        <w:spacing w:after="0"/>
        <w:textAlignment w:val="auto"/>
        <w:rPr>
          <w:i/>
        </w:rPr>
      </w:pPr>
      <w:r w:rsidRPr="0017597D">
        <w:rPr>
          <w:i/>
          <w:lang w:val="en-US"/>
        </w:rPr>
        <w:t>Simultaneous RXTX in DC operation can be supported based on UE Capability.</w:t>
      </w:r>
    </w:p>
    <w:p w14:paraId="176D1EF2" w14:textId="5A78DBF3" w:rsidR="0003436E" w:rsidRDefault="0003436E" w:rsidP="0003436E">
      <w:pPr>
        <w:overflowPunct/>
        <w:autoSpaceDE/>
        <w:autoSpaceDN/>
        <w:adjustRightInd/>
        <w:spacing w:after="0"/>
        <w:textAlignment w:val="auto"/>
        <w:rPr>
          <w:sz w:val="22"/>
          <w:lang w:val="en-US"/>
        </w:rPr>
      </w:pPr>
    </w:p>
    <w:p w14:paraId="4C446726" w14:textId="4020C1A1" w:rsidR="008B4DEB" w:rsidRPr="00102BBE" w:rsidRDefault="008B4DEB" w:rsidP="0003436E">
      <w:pPr>
        <w:overflowPunct/>
        <w:autoSpaceDE/>
        <w:autoSpaceDN/>
        <w:adjustRightInd/>
        <w:spacing w:after="0"/>
        <w:textAlignment w:val="auto"/>
        <w:rPr>
          <w:lang w:val="en-US"/>
        </w:rPr>
      </w:pPr>
      <w:r w:rsidRPr="0017597D">
        <w:rPr>
          <w:lang w:val="en-US"/>
        </w:rPr>
        <w:t xml:space="preserve">As can be seen from agreements, for inter-band DC, </w:t>
      </w:r>
      <w:r w:rsidR="00102BBE">
        <w:rPr>
          <w:lang w:val="en-US"/>
        </w:rPr>
        <w:t xml:space="preserve">all UEs should support </w:t>
      </w:r>
      <w:r w:rsidRPr="0017597D">
        <w:rPr>
          <w:lang w:val="en-US"/>
        </w:rPr>
        <w:t>asynchronous DC and thus separate capability is not needed.</w:t>
      </w:r>
    </w:p>
    <w:p w14:paraId="7E2AE87D" w14:textId="77777777" w:rsidR="008B4DEB" w:rsidRDefault="008B4DEB" w:rsidP="0003436E">
      <w:pPr>
        <w:overflowPunct/>
        <w:autoSpaceDE/>
        <w:autoSpaceDN/>
        <w:adjustRightInd/>
        <w:spacing w:after="0"/>
        <w:textAlignment w:val="auto"/>
        <w:rPr>
          <w:sz w:val="22"/>
          <w:lang w:val="en-US"/>
        </w:rPr>
      </w:pPr>
    </w:p>
    <w:p w14:paraId="56BE898B" w14:textId="52A316CD" w:rsidR="008B4DEB" w:rsidRDefault="008B4DEB" w:rsidP="008B4DEB">
      <w:pPr>
        <w:pStyle w:val="Proposal"/>
        <w:rPr>
          <w:lang w:val="en-US"/>
        </w:rPr>
      </w:pPr>
      <w:bookmarkStart w:id="1" w:name="_Toc498530437"/>
      <w:bookmarkStart w:id="2" w:name="_Toc498644595"/>
      <w:r>
        <w:rPr>
          <w:lang w:val="en-US"/>
        </w:rPr>
        <w:t>In inter-band EN-DC, asynchronous UE operation is default operation and thus no separate capabilities are needed</w:t>
      </w:r>
      <w:bookmarkEnd w:id="1"/>
      <w:bookmarkEnd w:id="2"/>
    </w:p>
    <w:p w14:paraId="55AE8CB7" w14:textId="1C305CA0" w:rsidR="007A6A3B" w:rsidRPr="0017597D" w:rsidRDefault="007A6A3B" w:rsidP="0017597D">
      <w:pPr>
        <w:rPr>
          <w:lang w:val="en-US"/>
        </w:rPr>
      </w:pPr>
    </w:p>
    <w:p w14:paraId="065E32B5" w14:textId="70C6C6ED" w:rsidR="007A6A3B" w:rsidRPr="0017597D" w:rsidRDefault="0017597D" w:rsidP="0017597D">
      <w:pPr>
        <w:rPr>
          <w:lang w:val="en-US"/>
        </w:rPr>
      </w:pPr>
      <w:r w:rsidRPr="0017597D">
        <w:rPr>
          <w:lang w:val="en-US"/>
        </w:rPr>
        <w:t xml:space="preserve">On the </w:t>
      </w:r>
      <w:r w:rsidRPr="0017597D">
        <w:t>other hand, RAN4 has agreed that inter-band TDD/TDD and inter-band FDD/TDD cases, s</w:t>
      </w:r>
      <w:r w:rsidR="00015025" w:rsidRPr="0017597D">
        <w:t>imultaneous</w:t>
      </w:r>
      <w:r w:rsidRPr="0017597D">
        <w:t xml:space="preserve"> </w:t>
      </w:r>
      <w:r>
        <w:t xml:space="preserve">RXTX </w:t>
      </w:r>
      <w:r w:rsidRPr="0017597D">
        <w:t>is not necessarily supported.</w:t>
      </w:r>
      <w:r>
        <w:t xml:space="preserve"> I</w:t>
      </w:r>
      <w:r w:rsidRPr="0017597D">
        <w:t xml:space="preserve">f the simultaneous RX/TX is not supported, </w:t>
      </w:r>
      <w:r>
        <w:t>whole EN-DC operation is rather inefficient as the su</w:t>
      </w:r>
      <w:r w:rsidRPr="0017597D">
        <w:t>bframes need to be split between LTE and NR</w:t>
      </w:r>
      <w:r>
        <w:t xml:space="preserve"> and split coordinated between nodes</w:t>
      </w:r>
      <w:r w:rsidRPr="0017597D">
        <w:t>. Even more, if the network</w:t>
      </w:r>
      <w:r w:rsidRPr="0017597D">
        <w:rPr>
          <w:lang w:val="en-US"/>
        </w:rPr>
        <w:t xml:space="preserve"> operation </w:t>
      </w:r>
      <w:r w:rsidR="00591671">
        <w:rPr>
          <w:lang w:val="en-US"/>
        </w:rPr>
        <w:t>is</w:t>
      </w:r>
      <w:r w:rsidRPr="0017597D">
        <w:rPr>
          <w:lang w:val="en-US"/>
        </w:rPr>
        <w:t xml:space="preserve"> asynchronous, there is even more impacts on the performance.</w:t>
      </w:r>
    </w:p>
    <w:p w14:paraId="2C2FF449" w14:textId="64670AFC" w:rsidR="0017597D" w:rsidRPr="00015025" w:rsidRDefault="0017597D" w:rsidP="0017597D">
      <w:pPr>
        <w:pStyle w:val="Proposal"/>
        <w:rPr>
          <w:lang w:val="en-US"/>
        </w:rPr>
      </w:pPr>
      <w:bookmarkStart w:id="3" w:name="_Toc498530438"/>
      <w:bookmarkStart w:id="4" w:name="_Toc498644596"/>
      <w:r>
        <w:rPr>
          <w:lang w:val="en-US"/>
        </w:rPr>
        <w:t xml:space="preserve">On default, the UE should support simultaneous RXTX in </w:t>
      </w:r>
      <w:r w:rsidR="00102BBE">
        <w:rPr>
          <w:lang w:val="en-US"/>
        </w:rPr>
        <w:t xml:space="preserve">EN-DC. If (in)capability bit is still necessary </w:t>
      </w:r>
      <w:r>
        <w:rPr>
          <w:lang w:val="en-US"/>
        </w:rPr>
        <w:t>on this case, it should be one bit per UE.</w:t>
      </w:r>
      <w:bookmarkEnd w:id="3"/>
      <w:bookmarkEnd w:id="4"/>
    </w:p>
    <w:p w14:paraId="35C8AC7E" w14:textId="6E6FE566" w:rsidR="007A6A3B" w:rsidRDefault="007A6A3B" w:rsidP="007A6A3B">
      <w:pPr>
        <w:pStyle w:val="Proposal"/>
        <w:numPr>
          <w:ilvl w:val="0"/>
          <w:numId w:val="0"/>
        </w:numPr>
        <w:ind w:left="1701" w:hanging="1701"/>
        <w:rPr>
          <w:lang w:val="en-US"/>
        </w:rPr>
      </w:pPr>
    </w:p>
    <w:p w14:paraId="56AB01C1" w14:textId="725DBE72" w:rsidR="0003436E" w:rsidRDefault="008B4DEB" w:rsidP="008B4DEB">
      <w:pPr>
        <w:pStyle w:val="Heading3"/>
      </w:pPr>
      <w:r>
        <w:t xml:space="preserve">Intra-band </w:t>
      </w:r>
      <w:r w:rsidR="00C509A0">
        <w:t>TDD case</w:t>
      </w:r>
    </w:p>
    <w:p w14:paraId="4BE329C4" w14:textId="081CC507" w:rsidR="00C509A0" w:rsidRDefault="00C509A0" w:rsidP="00C509A0"/>
    <w:p w14:paraId="52BF5AAF" w14:textId="6F55E7B9" w:rsidR="00C509A0" w:rsidRPr="00C509A0" w:rsidRDefault="00C509A0" w:rsidP="00C509A0">
      <w:r>
        <w:t xml:space="preserve">For TDD intra-band case, RAN4 made the following </w:t>
      </w:r>
      <w:r w:rsidR="00102BBE">
        <w:t>agreements:</w:t>
      </w:r>
    </w:p>
    <w:p w14:paraId="0F56EC7F" w14:textId="4F52A4A4" w:rsidR="000E0A76" w:rsidRPr="00181969" w:rsidRDefault="000E0A76" w:rsidP="000E0A76">
      <w:pPr>
        <w:numPr>
          <w:ilvl w:val="0"/>
          <w:numId w:val="17"/>
        </w:numPr>
        <w:overflowPunct/>
        <w:autoSpaceDE/>
        <w:autoSpaceDN/>
        <w:adjustRightInd/>
        <w:spacing w:after="0"/>
        <w:textAlignment w:val="auto"/>
      </w:pPr>
      <w:r w:rsidRPr="00181969">
        <w:rPr>
          <w:lang w:val="en-US"/>
        </w:rPr>
        <w:t>For Intra-band TDD-TDD case</w:t>
      </w:r>
      <w:r w:rsidRPr="00181969">
        <w:t xml:space="preserve">: </w:t>
      </w:r>
    </w:p>
    <w:p w14:paraId="14BB8062" w14:textId="77777777" w:rsidR="000E0A76" w:rsidRPr="00181969" w:rsidRDefault="000E0A76" w:rsidP="000E0A76">
      <w:pPr>
        <w:numPr>
          <w:ilvl w:val="1"/>
          <w:numId w:val="17"/>
        </w:numPr>
        <w:overflowPunct/>
        <w:autoSpaceDE/>
        <w:autoSpaceDN/>
        <w:adjustRightInd/>
        <w:spacing w:after="0"/>
        <w:textAlignment w:val="auto"/>
        <w:rPr>
          <w:lang w:val="en-US"/>
        </w:rPr>
      </w:pPr>
      <w:r w:rsidRPr="00181969">
        <w:rPr>
          <w:lang w:val="en-US"/>
        </w:rPr>
        <w:t>Synchronous DC operation as well as NR DL/UL resource assignment to avoid DL/UL interference with LTE TDD is needed for intra-band LTE-NR DC.</w:t>
      </w:r>
    </w:p>
    <w:p w14:paraId="7838E493" w14:textId="77777777" w:rsidR="000E0A76" w:rsidRPr="00181969" w:rsidRDefault="000E0A76" w:rsidP="000E0A76">
      <w:pPr>
        <w:numPr>
          <w:ilvl w:val="1"/>
          <w:numId w:val="17"/>
        </w:numPr>
        <w:overflowPunct/>
        <w:autoSpaceDE/>
        <w:autoSpaceDN/>
        <w:adjustRightInd/>
        <w:spacing w:after="0"/>
        <w:textAlignment w:val="auto"/>
        <w:rPr>
          <w:lang w:val="en-US"/>
        </w:rPr>
      </w:pPr>
      <w:r w:rsidRPr="00181969">
        <w:rPr>
          <w:lang w:val="en-US"/>
        </w:rPr>
        <w:t xml:space="preserve">It is proposed to only consider </w:t>
      </w:r>
      <w:r w:rsidRPr="00181969">
        <w:t xml:space="preserve">collocation scenario for </w:t>
      </w:r>
      <w:r w:rsidRPr="00181969">
        <w:rPr>
          <w:lang w:val="en-US"/>
        </w:rPr>
        <w:t xml:space="preserve">intra-band LTE-NR DC in Rel-15. </w:t>
      </w:r>
    </w:p>
    <w:p w14:paraId="39A5C55A" w14:textId="77777777" w:rsidR="000E0A76" w:rsidRPr="00181969" w:rsidRDefault="000E0A76" w:rsidP="000E0A76">
      <w:pPr>
        <w:numPr>
          <w:ilvl w:val="1"/>
          <w:numId w:val="17"/>
        </w:numPr>
        <w:overflowPunct/>
        <w:autoSpaceDE/>
        <w:autoSpaceDN/>
        <w:adjustRightInd/>
        <w:spacing w:after="0"/>
        <w:textAlignment w:val="auto"/>
      </w:pPr>
      <w:r w:rsidRPr="00181969">
        <w:t xml:space="preserve">UE </w:t>
      </w:r>
      <w:r w:rsidRPr="00181969">
        <w:rPr>
          <w:lang w:val="en-US"/>
        </w:rPr>
        <w:t>shall support the synchronous TDD-TDD LTE-NR intra-band DC provided the MRTD at the UE does not exceed values shown in the table below: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559"/>
        <w:gridCol w:w="2782"/>
        <w:gridCol w:w="2463"/>
      </w:tblGrid>
      <w:tr w:rsidR="000E0A76" w:rsidRPr="00181969" w14:paraId="362906E6" w14:textId="77777777" w:rsidTr="006A35EE">
        <w:tc>
          <w:tcPr>
            <w:tcW w:w="1418" w:type="dxa"/>
            <w:shd w:val="clear" w:color="auto" w:fill="auto"/>
          </w:tcPr>
          <w:p w14:paraId="2790E18B" w14:textId="77777777" w:rsidR="000E0A76" w:rsidRPr="00181969" w:rsidRDefault="000E0A76" w:rsidP="006A35EE">
            <w:pPr>
              <w:jc w:val="center"/>
            </w:pPr>
            <w:r w:rsidRPr="00181969">
              <w:t>LTE PCell SCS (kHz)</w:t>
            </w:r>
          </w:p>
        </w:tc>
        <w:tc>
          <w:tcPr>
            <w:tcW w:w="1559" w:type="dxa"/>
            <w:shd w:val="clear" w:color="auto" w:fill="auto"/>
          </w:tcPr>
          <w:p w14:paraId="7C294EC9" w14:textId="77777777" w:rsidR="000E0A76" w:rsidRPr="00181969" w:rsidRDefault="000E0A76" w:rsidP="006A35EE">
            <w:pPr>
              <w:jc w:val="center"/>
            </w:pPr>
            <w:r w:rsidRPr="00181969">
              <w:t>NR PSCell SCS (kHz)</w:t>
            </w:r>
          </w:p>
        </w:tc>
        <w:tc>
          <w:tcPr>
            <w:tcW w:w="2782" w:type="dxa"/>
            <w:shd w:val="clear" w:color="auto" w:fill="auto"/>
          </w:tcPr>
          <w:p w14:paraId="57C06530" w14:textId="77777777" w:rsidR="000E0A76" w:rsidRPr="00181969" w:rsidRDefault="000E0A76" w:rsidP="006A35EE">
            <w:pPr>
              <w:jc w:val="center"/>
            </w:pPr>
            <w:r w:rsidRPr="00181969">
              <w:t>Maximum receive timing difference, MRTD (</w:t>
            </w:r>
            <w:r w:rsidRPr="00181969">
              <w:rPr>
                <w:szCs w:val="22"/>
              </w:rPr>
              <w:t>µs</w:t>
            </w:r>
            <w:r w:rsidRPr="00181969">
              <w:t>) for synchronous operation</w:t>
            </w:r>
          </w:p>
        </w:tc>
        <w:tc>
          <w:tcPr>
            <w:tcW w:w="2463" w:type="dxa"/>
            <w:shd w:val="clear" w:color="auto" w:fill="auto"/>
          </w:tcPr>
          <w:p w14:paraId="0AF6B922" w14:textId="77777777" w:rsidR="000E0A76" w:rsidRPr="00181969" w:rsidRDefault="000E0A76" w:rsidP="006A35EE">
            <w:pPr>
              <w:jc w:val="center"/>
            </w:pPr>
            <w:r w:rsidRPr="00181969">
              <w:t>Maximum receive timing difference, MRTD (</w:t>
            </w:r>
            <w:r w:rsidRPr="00181969">
              <w:rPr>
                <w:szCs w:val="22"/>
              </w:rPr>
              <w:t>µs</w:t>
            </w:r>
            <w:r w:rsidRPr="00181969">
              <w:t>) for asynchronous operation</w:t>
            </w:r>
          </w:p>
        </w:tc>
      </w:tr>
      <w:tr w:rsidR="000E0A76" w:rsidRPr="00181969" w14:paraId="6A6094B1" w14:textId="77777777" w:rsidTr="006A35EE">
        <w:tc>
          <w:tcPr>
            <w:tcW w:w="1418" w:type="dxa"/>
            <w:shd w:val="clear" w:color="auto" w:fill="auto"/>
          </w:tcPr>
          <w:p w14:paraId="5EFA6C36" w14:textId="77777777" w:rsidR="000E0A76" w:rsidRPr="00181969" w:rsidRDefault="000E0A76" w:rsidP="006A35EE">
            <w:pPr>
              <w:jc w:val="center"/>
            </w:pPr>
            <w:r w:rsidRPr="00181969">
              <w:t>15</w:t>
            </w:r>
          </w:p>
        </w:tc>
        <w:tc>
          <w:tcPr>
            <w:tcW w:w="1559" w:type="dxa"/>
            <w:shd w:val="clear" w:color="auto" w:fill="auto"/>
          </w:tcPr>
          <w:p w14:paraId="48163878" w14:textId="77777777" w:rsidR="000E0A76" w:rsidRPr="00181969" w:rsidRDefault="000E0A76" w:rsidP="006A35EE">
            <w:pPr>
              <w:jc w:val="center"/>
            </w:pPr>
            <w:r w:rsidRPr="00181969">
              <w:t>15</w:t>
            </w:r>
          </w:p>
        </w:tc>
        <w:tc>
          <w:tcPr>
            <w:tcW w:w="2782" w:type="dxa"/>
            <w:shd w:val="clear" w:color="auto" w:fill="auto"/>
          </w:tcPr>
          <w:p w14:paraId="1781402B" w14:textId="77777777" w:rsidR="000E0A76" w:rsidRPr="00181969" w:rsidRDefault="000E0A76" w:rsidP="006A35EE">
            <w:pPr>
              <w:jc w:val="center"/>
            </w:pPr>
            <w:r w:rsidRPr="00181969">
              <w:t>TBD</w:t>
            </w:r>
          </w:p>
        </w:tc>
        <w:tc>
          <w:tcPr>
            <w:tcW w:w="2463" w:type="dxa"/>
            <w:shd w:val="clear" w:color="auto" w:fill="auto"/>
          </w:tcPr>
          <w:p w14:paraId="54876CAA" w14:textId="77777777" w:rsidR="000E0A76" w:rsidRPr="00181969" w:rsidRDefault="000E0A76" w:rsidP="006A35EE">
            <w:pPr>
              <w:jc w:val="center"/>
            </w:pPr>
            <w:r w:rsidRPr="00181969">
              <w:t>NA</w:t>
            </w:r>
          </w:p>
        </w:tc>
      </w:tr>
      <w:tr w:rsidR="000E0A76" w:rsidRPr="00181969" w14:paraId="705D0749" w14:textId="77777777" w:rsidTr="006A35EE">
        <w:tc>
          <w:tcPr>
            <w:tcW w:w="1418" w:type="dxa"/>
            <w:shd w:val="clear" w:color="auto" w:fill="auto"/>
          </w:tcPr>
          <w:p w14:paraId="16352976" w14:textId="77777777" w:rsidR="000E0A76" w:rsidRPr="00181969" w:rsidRDefault="000E0A76" w:rsidP="006A35EE">
            <w:pPr>
              <w:jc w:val="center"/>
            </w:pPr>
            <w:r w:rsidRPr="00181969">
              <w:t>15</w:t>
            </w:r>
          </w:p>
        </w:tc>
        <w:tc>
          <w:tcPr>
            <w:tcW w:w="1559" w:type="dxa"/>
            <w:shd w:val="clear" w:color="auto" w:fill="auto"/>
          </w:tcPr>
          <w:p w14:paraId="10846192" w14:textId="77777777" w:rsidR="000E0A76" w:rsidRPr="00181969" w:rsidRDefault="000E0A76" w:rsidP="006A35EE">
            <w:pPr>
              <w:jc w:val="center"/>
            </w:pPr>
            <w:r w:rsidRPr="00181969">
              <w:t>30</w:t>
            </w:r>
          </w:p>
        </w:tc>
        <w:tc>
          <w:tcPr>
            <w:tcW w:w="2782" w:type="dxa"/>
            <w:shd w:val="clear" w:color="auto" w:fill="auto"/>
          </w:tcPr>
          <w:p w14:paraId="419FDF60" w14:textId="77777777" w:rsidR="000E0A76" w:rsidRPr="00181969" w:rsidRDefault="000E0A76" w:rsidP="006A35EE">
            <w:pPr>
              <w:jc w:val="center"/>
            </w:pPr>
            <w:r w:rsidRPr="00181969">
              <w:t>TBD</w:t>
            </w:r>
          </w:p>
        </w:tc>
        <w:tc>
          <w:tcPr>
            <w:tcW w:w="2463" w:type="dxa"/>
            <w:shd w:val="clear" w:color="auto" w:fill="auto"/>
          </w:tcPr>
          <w:p w14:paraId="2D494EB3" w14:textId="77777777" w:rsidR="000E0A76" w:rsidRPr="00181969" w:rsidRDefault="000E0A76" w:rsidP="006A35EE">
            <w:pPr>
              <w:jc w:val="center"/>
            </w:pPr>
            <w:r w:rsidRPr="00181969">
              <w:t>NA</w:t>
            </w:r>
          </w:p>
        </w:tc>
      </w:tr>
      <w:tr w:rsidR="000E0A76" w:rsidRPr="00181969" w14:paraId="35546036" w14:textId="77777777" w:rsidTr="006A35EE">
        <w:tc>
          <w:tcPr>
            <w:tcW w:w="1418" w:type="dxa"/>
            <w:shd w:val="clear" w:color="auto" w:fill="auto"/>
          </w:tcPr>
          <w:p w14:paraId="3BED68B1" w14:textId="77777777" w:rsidR="000E0A76" w:rsidRPr="00181969" w:rsidRDefault="000E0A76" w:rsidP="006A35EE">
            <w:pPr>
              <w:jc w:val="center"/>
            </w:pPr>
            <w:r w:rsidRPr="00181969">
              <w:t>15</w:t>
            </w:r>
          </w:p>
        </w:tc>
        <w:tc>
          <w:tcPr>
            <w:tcW w:w="1559" w:type="dxa"/>
            <w:shd w:val="clear" w:color="auto" w:fill="auto"/>
          </w:tcPr>
          <w:p w14:paraId="1DD61ACE" w14:textId="77777777" w:rsidR="000E0A76" w:rsidRPr="00181969" w:rsidRDefault="000E0A76" w:rsidP="006A35EE">
            <w:pPr>
              <w:jc w:val="center"/>
            </w:pPr>
            <w:r w:rsidRPr="00181969">
              <w:t>60</w:t>
            </w:r>
          </w:p>
        </w:tc>
        <w:tc>
          <w:tcPr>
            <w:tcW w:w="2782" w:type="dxa"/>
            <w:shd w:val="clear" w:color="auto" w:fill="auto"/>
          </w:tcPr>
          <w:p w14:paraId="39CF15C5" w14:textId="77777777" w:rsidR="000E0A76" w:rsidRPr="00181969" w:rsidRDefault="000E0A76" w:rsidP="006A35EE">
            <w:pPr>
              <w:jc w:val="center"/>
            </w:pPr>
            <w:r w:rsidRPr="00181969">
              <w:t>TBD</w:t>
            </w:r>
          </w:p>
        </w:tc>
        <w:tc>
          <w:tcPr>
            <w:tcW w:w="2463" w:type="dxa"/>
            <w:shd w:val="clear" w:color="auto" w:fill="auto"/>
          </w:tcPr>
          <w:p w14:paraId="5883049A" w14:textId="77777777" w:rsidR="000E0A76" w:rsidRPr="00181969" w:rsidRDefault="000E0A76" w:rsidP="006A35EE">
            <w:pPr>
              <w:jc w:val="center"/>
            </w:pPr>
            <w:r w:rsidRPr="00181969">
              <w:t>NA</w:t>
            </w:r>
          </w:p>
        </w:tc>
      </w:tr>
    </w:tbl>
    <w:p w14:paraId="00FBD069" w14:textId="2B6939EB" w:rsidR="000E0A76" w:rsidRDefault="000E0A76" w:rsidP="000E0A76">
      <w:pPr>
        <w:rPr>
          <w:rFonts w:cs="Arial"/>
        </w:rPr>
      </w:pPr>
    </w:p>
    <w:p w14:paraId="33F6641F" w14:textId="02EFD731" w:rsidR="00C509A0" w:rsidRDefault="00102BBE" w:rsidP="00C509A0">
      <w:pPr>
        <w:pStyle w:val="BodyText"/>
      </w:pPr>
      <w:r>
        <w:t>From the agreements</w:t>
      </w:r>
      <w:r w:rsidR="00C509A0">
        <w:t xml:space="preserve"> it can be unde</w:t>
      </w:r>
      <w:r w:rsidR="00591671">
        <w:t>rstood that for the intra-band T</w:t>
      </w:r>
      <w:r w:rsidR="00C509A0">
        <w:t>DD EN-DC, collocated case is assumed. This means that the propagation delay difference should be zero in this case. In addition, it is assumed that the transmissions from the network nodes are synchronised.</w:t>
      </w:r>
    </w:p>
    <w:p w14:paraId="3D46147F" w14:textId="4D1AC89E" w:rsidR="00C509A0" w:rsidRDefault="00BC4122" w:rsidP="00BC4122">
      <w:pPr>
        <w:pStyle w:val="Proposal"/>
      </w:pPr>
      <w:bookmarkStart w:id="5" w:name="_Toc498530439"/>
      <w:bookmarkStart w:id="6" w:name="_Toc498644597"/>
      <w:r>
        <w:t>In intra-band TDD EN-DC, the synchronous operation is only supported in Rel-15. No separate UE capability is needed to indicate support of that</w:t>
      </w:r>
      <w:bookmarkEnd w:id="5"/>
      <w:r w:rsidR="00102BBE">
        <w:t>.</w:t>
      </w:r>
      <w:bookmarkEnd w:id="6"/>
    </w:p>
    <w:p w14:paraId="516EDA60" w14:textId="77777777" w:rsidR="00BC4122" w:rsidRDefault="00BC4122" w:rsidP="000E0A76">
      <w:pPr>
        <w:rPr>
          <w:rFonts w:cs="Arial"/>
        </w:rPr>
      </w:pPr>
    </w:p>
    <w:p w14:paraId="1F9DD455" w14:textId="2BBEA85C" w:rsidR="00C509A0" w:rsidRDefault="00C509A0" w:rsidP="00C509A0">
      <w:pPr>
        <w:pStyle w:val="Heading3"/>
      </w:pPr>
      <w:r>
        <w:lastRenderedPageBreak/>
        <w:t xml:space="preserve">Intra-band </w:t>
      </w:r>
      <w:r w:rsidR="00015025">
        <w:t>FDD</w:t>
      </w:r>
      <w:r>
        <w:t xml:space="preserve"> case</w:t>
      </w:r>
    </w:p>
    <w:p w14:paraId="04E795B4" w14:textId="77777777" w:rsidR="00C509A0" w:rsidRDefault="00C509A0" w:rsidP="00C509A0"/>
    <w:p w14:paraId="666165E8" w14:textId="5571E170" w:rsidR="00C509A0" w:rsidRPr="00591671" w:rsidRDefault="00015025" w:rsidP="000E0A76">
      <w:r>
        <w:t>For F</w:t>
      </w:r>
      <w:r w:rsidR="00C509A0">
        <w:t xml:space="preserve">DD intra-band case, RAN4 made the following </w:t>
      </w:r>
      <w:r w:rsidR="00102BBE">
        <w:t>agreements:</w:t>
      </w:r>
    </w:p>
    <w:p w14:paraId="577708FC" w14:textId="77777777" w:rsidR="000E0A76" w:rsidRPr="00BC4122" w:rsidRDefault="000E0A76" w:rsidP="000E0A76">
      <w:pPr>
        <w:numPr>
          <w:ilvl w:val="0"/>
          <w:numId w:val="17"/>
        </w:numPr>
        <w:overflowPunct/>
        <w:autoSpaceDE/>
        <w:autoSpaceDN/>
        <w:adjustRightInd/>
        <w:spacing w:after="0"/>
        <w:textAlignment w:val="auto"/>
        <w:rPr>
          <w:sz w:val="22"/>
          <w:lang w:val="sv-SE"/>
        </w:rPr>
      </w:pPr>
      <w:r w:rsidRPr="00BC4122">
        <w:rPr>
          <w:sz w:val="22"/>
          <w:lang w:val="sv-SE"/>
        </w:rPr>
        <w:t xml:space="preserve">For FDD-FDD Intra-band LTE-NR DC, </w:t>
      </w:r>
    </w:p>
    <w:p w14:paraId="0CA09846" w14:textId="77777777" w:rsidR="000E0A76" w:rsidRPr="00181969" w:rsidRDefault="000E0A76" w:rsidP="000E0A76">
      <w:pPr>
        <w:pStyle w:val="Header"/>
        <w:widowControl/>
        <w:numPr>
          <w:ilvl w:val="1"/>
          <w:numId w:val="18"/>
        </w:numPr>
        <w:tabs>
          <w:tab w:val="center" w:pos="4153"/>
          <w:tab w:val="right" w:pos="8306"/>
        </w:tabs>
        <w:overflowPunct/>
        <w:autoSpaceDE/>
        <w:autoSpaceDN/>
        <w:adjustRightInd/>
        <w:textAlignment w:val="auto"/>
        <w:rPr>
          <w:b w:val="0"/>
          <w:sz w:val="22"/>
        </w:rPr>
      </w:pPr>
      <w:r w:rsidRPr="00181969">
        <w:rPr>
          <w:b w:val="0"/>
          <w:sz w:val="22"/>
        </w:rPr>
        <w:t>It is proposed to only consider collocation scenario for intra-band LTE-NR DC in Rel-15.</w:t>
      </w:r>
    </w:p>
    <w:p w14:paraId="07FE6384" w14:textId="77777777" w:rsidR="000E0A76" w:rsidRPr="00181969" w:rsidRDefault="000E0A76" w:rsidP="000E0A76">
      <w:pPr>
        <w:pStyle w:val="Header"/>
        <w:widowControl/>
        <w:numPr>
          <w:ilvl w:val="1"/>
          <w:numId w:val="18"/>
        </w:numPr>
        <w:tabs>
          <w:tab w:val="center" w:pos="4153"/>
          <w:tab w:val="right" w:pos="8306"/>
        </w:tabs>
        <w:overflowPunct/>
        <w:autoSpaceDE/>
        <w:autoSpaceDN/>
        <w:adjustRightInd/>
        <w:textAlignment w:val="auto"/>
        <w:rPr>
          <w:b w:val="0"/>
          <w:sz w:val="22"/>
        </w:rPr>
      </w:pPr>
      <w:r w:rsidRPr="00181969">
        <w:rPr>
          <w:b w:val="0"/>
          <w:sz w:val="22"/>
        </w:rPr>
        <w:t xml:space="preserve">If UE supports asynchronous dual connectivity assuming separate RF chains, following MRTD and MTTD is defined in this case: </w:t>
      </w:r>
    </w:p>
    <w:p w14:paraId="453C6744" w14:textId="77777777" w:rsidR="000E0A76" w:rsidRDefault="000E0A76" w:rsidP="000E0A76">
      <w:pPr>
        <w:pStyle w:val="Header"/>
        <w:ind w:left="1440"/>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2776"/>
        <w:gridCol w:w="2977"/>
      </w:tblGrid>
      <w:tr w:rsidR="000E0A76" w:rsidRPr="004E4E76" w14:paraId="6B99BBEE" w14:textId="77777777" w:rsidTr="006A35EE">
        <w:tc>
          <w:tcPr>
            <w:tcW w:w="1643" w:type="dxa"/>
            <w:shd w:val="clear" w:color="auto" w:fill="auto"/>
          </w:tcPr>
          <w:p w14:paraId="39526AE7" w14:textId="77777777" w:rsidR="000E0A76" w:rsidRPr="004E4E76" w:rsidRDefault="000E0A76" w:rsidP="006A35EE">
            <w:pPr>
              <w:jc w:val="center"/>
              <w:rPr>
                <w:sz w:val="22"/>
              </w:rPr>
            </w:pPr>
            <w:r w:rsidRPr="004E4E76">
              <w:rPr>
                <w:sz w:val="22"/>
              </w:rPr>
              <w:t xml:space="preserve">LTE </w:t>
            </w:r>
            <w:r>
              <w:rPr>
                <w:sz w:val="22"/>
              </w:rPr>
              <w:t xml:space="preserve">PCell </w:t>
            </w:r>
            <w:r w:rsidRPr="004E4E76">
              <w:rPr>
                <w:sz w:val="22"/>
              </w:rPr>
              <w:t>SCS (kHz)</w:t>
            </w:r>
          </w:p>
        </w:tc>
        <w:tc>
          <w:tcPr>
            <w:tcW w:w="1643" w:type="dxa"/>
            <w:shd w:val="clear" w:color="auto" w:fill="auto"/>
          </w:tcPr>
          <w:p w14:paraId="29DBF989" w14:textId="77777777" w:rsidR="000E0A76" w:rsidRPr="004E4E76" w:rsidRDefault="000E0A76" w:rsidP="006A35EE">
            <w:pPr>
              <w:jc w:val="center"/>
              <w:rPr>
                <w:sz w:val="22"/>
              </w:rPr>
            </w:pPr>
            <w:r w:rsidRPr="004E4E76">
              <w:rPr>
                <w:sz w:val="22"/>
              </w:rPr>
              <w:t xml:space="preserve">NR </w:t>
            </w:r>
            <w:r>
              <w:rPr>
                <w:sz w:val="22"/>
              </w:rPr>
              <w:t xml:space="preserve">PSCell </w:t>
            </w:r>
            <w:r w:rsidRPr="004E4E76">
              <w:rPr>
                <w:sz w:val="22"/>
              </w:rPr>
              <w:t>SCS (kHz)</w:t>
            </w:r>
          </w:p>
        </w:tc>
        <w:tc>
          <w:tcPr>
            <w:tcW w:w="2776" w:type="dxa"/>
            <w:shd w:val="clear" w:color="auto" w:fill="auto"/>
          </w:tcPr>
          <w:p w14:paraId="7700B989" w14:textId="77777777" w:rsidR="000E0A76" w:rsidRPr="004E4E76" w:rsidRDefault="000E0A76" w:rsidP="006A35EE">
            <w:pPr>
              <w:jc w:val="center"/>
              <w:rPr>
                <w:sz w:val="22"/>
              </w:rPr>
            </w:pPr>
            <w:r w:rsidRPr="004E4E76">
              <w:rPr>
                <w:sz w:val="22"/>
              </w:rPr>
              <w:t>Maximum receive timing difference, MRTD (</w:t>
            </w:r>
            <w:r w:rsidRPr="004E4E76">
              <w:rPr>
                <w:sz w:val="22"/>
                <w:szCs w:val="22"/>
              </w:rPr>
              <w:t>µs</w:t>
            </w:r>
            <w:r w:rsidRPr="004E4E76">
              <w:rPr>
                <w:sz w:val="22"/>
              </w:rPr>
              <w:t>) for asynchronous operation</w:t>
            </w:r>
          </w:p>
        </w:tc>
        <w:tc>
          <w:tcPr>
            <w:tcW w:w="2977" w:type="dxa"/>
            <w:shd w:val="clear" w:color="auto" w:fill="auto"/>
          </w:tcPr>
          <w:p w14:paraId="71DAA285" w14:textId="77777777" w:rsidR="000E0A76" w:rsidRPr="004E4E76" w:rsidRDefault="000E0A76" w:rsidP="006A35EE">
            <w:pPr>
              <w:jc w:val="center"/>
              <w:rPr>
                <w:sz w:val="22"/>
              </w:rPr>
            </w:pPr>
            <w:r w:rsidRPr="004E4E76">
              <w:rPr>
                <w:sz w:val="22"/>
              </w:rPr>
              <w:t>Maximum transmission timing difference, MTTD (</w:t>
            </w:r>
            <w:r w:rsidRPr="004E4E76">
              <w:rPr>
                <w:sz w:val="22"/>
                <w:szCs w:val="22"/>
              </w:rPr>
              <w:t>µs</w:t>
            </w:r>
            <w:r w:rsidRPr="004E4E76">
              <w:rPr>
                <w:sz w:val="22"/>
              </w:rPr>
              <w:t>) for asynchronous operation</w:t>
            </w:r>
          </w:p>
        </w:tc>
      </w:tr>
      <w:tr w:rsidR="000E0A76" w:rsidRPr="004E4E76" w14:paraId="0033836D" w14:textId="77777777" w:rsidTr="006A35EE">
        <w:tc>
          <w:tcPr>
            <w:tcW w:w="1643" w:type="dxa"/>
            <w:shd w:val="clear" w:color="auto" w:fill="auto"/>
          </w:tcPr>
          <w:p w14:paraId="03CB7DCB" w14:textId="77777777" w:rsidR="000E0A76" w:rsidRPr="004E4E76" w:rsidRDefault="000E0A76" w:rsidP="006A35EE">
            <w:pPr>
              <w:jc w:val="center"/>
              <w:rPr>
                <w:sz w:val="22"/>
              </w:rPr>
            </w:pPr>
            <w:r w:rsidRPr="004E4E76">
              <w:rPr>
                <w:sz w:val="22"/>
              </w:rPr>
              <w:t>15</w:t>
            </w:r>
          </w:p>
        </w:tc>
        <w:tc>
          <w:tcPr>
            <w:tcW w:w="1643" w:type="dxa"/>
            <w:shd w:val="clear" w:color="auto" w:fill="auto"/>
          </w:tcPr>
          <w:p w14:paraId="30A5909D" w14:textId="77777777" w:rsidR="000E0A76" w:rsidRPr="004E4E76" w:rsidRDefault="000E0A76" w:rsidP="006A35EE">
            <w:pPr>
              <w:jc w:val="center"/>
              <w:rPr>
                <w:sz w:val="22"/>
              </w:rPr>
            </w:pPr>
            <w:r w:rsidRPr="004E4E76">
              <w:rPr>
                <w:sz w:val="22"/>
              </w:rPr>
              <w:t>15</w:t>
            </w:r>
          </w:p>
        </w:tc>
        <w:tc>
          <w:tcPr>
            <w:tcW w:w="2776" w:type="dxa"/>
            <w:shd w:val="clear" w:color="auto" w:fill="auto"/>
          </w:tcPr>
          <w:p w14:paraId="5AA9B5E5" w14:textId="77777777" w:rsidR="000E0A76" w:rsidRPr="004E4E76" w:rsidRDefault="000E0A76" w:rsidP="006A35EE">
            <w:pPr>
              <w:jc w:val="center"/>
              <w:rPr>
                <w:sz w:val="22"/>
              </w:rPr>
            </w:pPr>
            <w:r w:rsidRPr="004E4E76">
              <w:rPr>
                <w:sz w:val="22"/>
              </w:rPr>
              <w:t>500</w:t>
            </w:r>
          </w:p>
        </w:tc>
        <w:tc>
          <w:tcPr>
            <w:tcW w:w="2977" w:type="dxa"/>
            <w:shd w:val="clear" w:color="auto" w:fill="auto"/>
          </w:tcPr>
          <w:p w14:paraId="3BB3EA62" w14:textId="77777777" w:rsidR="000E0A76" w:rsidRPr="004E4E76" w:rsidRDefault="000E0A76" w:rsidP="006A35EE">
            <w:pPr>
              <w:jc w:val="center"/>
              <w:rPr>
                <w:sz w:val="22"/>
              </w:rPr>
            </w:pPr>
            <w:r w:rsidRPr="004E4E76">
              <w:rPr>
                <w:sz w:val="22"/>
              </w:rPr>
              <w:t>500</w:t>
            </w:r>
          </w:p>
        </w:tc>
      </w:tr>
      <w:tr w:rsidR="000E0A76" w:rsidRPr="004E4E76" w14:paraId="515A7CA3" w14:textId="77777777" w:rsidTr="006A35EE">
        <w:tc>
          <w:tcPr>
            <w:tcW w:w="1643" w:type="dxa"/>
            <w:shd w:val="clear" w:color="auto" w:fill="auto"/>
          </w:tcPr>
          <w:p w14:paraId="5345AD8F" w14:textId="77777777" w:rsidR="000E0A76" w:rsidRPr="004E4E76" w:rsidRDefault="000E0A76" w:rsidP="006A35EE">
            <w:pPr>
              <w:jc w:val="center"/>
              <w:rPr>
                <w:sz w:val="22"/>
              </w:rPr>
            </w:pPr>
            <w:r w:rsidRPr="004E4E76">
              <w:rPr>
                <w:sz w:val="22"/>
              </w:rPr>
              <w:t>15</w:t>
            </w:r>
          </w:p>
        </w:tc>
        <w:tc>
          <w:tcPr>
            <w:tcW w:w="1643" w:type="dxa"/>
            <w:shd w:val="clear" w:color="auto" w:fill="auto"/>
          </w:tcPr>
          <w:p w14:paraId="3320334C" w14:textId="77777777" w:rsidR="000E0A76" w:rsidRPr="004E4E76" w:rsidRDefault="000E0A76" w:rsidP="006A35EE">
            <w:pPr>
              <w:jc w:val="center"/>
              <w:rPr>
                <w:sz w:val="22"/>
              </w:rPr>
            </w:pPr>
            <w:r w:rsidRPr="004E4E76">
              <w:rPr>
                <w:sz w:val="22"/>
              </w:rPr>
              <w:t>30</w:t>
            </w:r>
          </w:p>
        </w:tc>
        <w:tc>
          <w:tcPr>
            <w:tcW w:w="2776" w:type="dxa"/>
            <w:shd w:val="clear" w:color="auto" w:fill="auto"/>
          </w:tcPr>
          <w:p w14:paraId="755CC57F" w14:textId="77777777" w:rsidR="000E0A76" w:rsidRPr="004E4E76" w:rsidRDefault="000E0A76" w:rsidP="006A35EE">
            <w:pPr>
              <w:jc w:val="center"/>
              <w:rPr>
                <w:sz w:val="22"/>
              </w:rPr>
            </w:pPr>
            <w:r w:rsidRPr="004E4E76">
              <w:rPr>
                <w:sz w:val="22"/>
              </w:rPr>
              <w:t>250</w:t>
            </w:r>
          </w:p>
        </w:tc>
        <w:tc>
          <w:tcPr>
            <w:tcW w:w="2977" w:type="dxa"/>
            <w:shd w:val="clear" w:color="auto" w:fill="auto"/>
          </w:tcPr>
          <w:p w14:paraId="03117FA5" w14:textId="77777777" w:rsidR="000E0A76" w:rsidRPr="004E4E76" w:rsidRDefault="000E0A76" w:rsidP="006A35EE">
            <w:pPr>
              <w:jc w:val="center"/>
              <w:rPr>
                <w:sz w:val="22"/>
              </w:rPr>
            </w:pPr>
            <w:r w:rsidRPr="004E4E76">
              <w:rPr>
                <w:sz w:val="22"/>
              </w:rPr>
              <w:t>250</w:t>
            </w:r>
          </w:p>
        </w:tc>
      </w:tr>
      <w:tr w:rsidR="000E0A76" w:rsidRPr="004E4E76" w14:paraId="4F0B6B03" w14:textId="77777777" w:rsidTr="006A35EE">
        <w:tc>
          <w:tcPr>
            <w:tcW w:w="1643" w:type="dxa"/>
            <w:shd w:val="clear" w:color="auto" w:fill="auto"/>
          </w:tcPr>
          <w:p w14:paraId="176C4CB1" w14:textId="77777777" w:rsidR="000E0A76" w:rsidRPr="004E4E76" w:rsidRDefault="000E0A76" w:rsidP="006A35EE">
            <w:pPr>
              <w:jc w:val="center"/>
              <w:rPr>
                <w:sz w:val="22"/>
              </w:rPr>
            </w:pPr>
            <w:r w:rsidRPr="004E4E76">
              <w:rPr>
                <w:sz w:val="22"/>
              </w:rPr>
              <w:t>15</w:t>
            </w:r>
          </w:p>
        </w:tc>
        <w:tc>
          <w:tcPr>
            <w:tcW w:w="1643" w:type="dxa"/>
            <w:shd w:val="clear" w:color="auto" w:fill="auto"/>
          </w:tcPr>
          <w:p w14:paraId="30C6D3C1" w14:textId="77777777" w:rsidR="000E0A76" w:rsidRPr="004E4E76" w:rsidRDefault="000E0A76" w:rsidP="006A35EE">
            <w:pPr>
              <w:jc w:val="center"/>
              <w:rPr>
                <w:sz w:val="22"/>
              </w:rPr>
            </w:pPr>
            <w:r w:rsidRPr="004E4E76">
              <w:rPr>
                <w:sz w:val="22"/>
              </w:rPr>
              <w:t>60</w:t>
            </w:r>
          </w:p>
        </w:tc>
        <w:tc>
          <w:tcPr>
            <w:tcW w:w="2776" w:type="dxa"/>
            <w:shd w:val="clear" w:color="auto" w:fill="auto"/>
          </w:tcPr>
          <w:p w14:paraId="56B66875" w14:textId="77777777" w:rsidR="000E0A76" w:rsidRPr="004E4E76" w:rsidRDefault="000E0A76" w:rsidP="006A35EE">
            <w:pPr>
              <w:jc w:val="center"/>
              <w:rPr>
                <w:sz w:val="22"/>
              </w:rPr>
            </w:pPr>
            <w:r w:rsidRPr="004E4E76">
              <w:rPr>
                <w:sz w:val="22"/>
              </w:rPr>
              <w:t>125</w:t>
            </w:r>
          </w:p>
        </w:tc>
        <w:tc>
          <w:tcPr>
            <w:tcW w:w="2977" w:type="dxa"/>
            <w:shd w:val="clear" w:color="auto" w:fill="auto"/>
          </w:tcPr>
          <w:p w14:paraId="2ED22613" w14:textId="77777777" w:rsidR="000E0A76" w:rsidRPr="004E4E76" w:rsidRDefault="000E0A76" w:rsidP="006A35EE">
            <w:pPr>
              <w:jc w:val="center"/>
              <w:rPr>
                <w:sz w:val="22"/>
              </w:rPr>
            </w:pPr>
            <w:r w:rsidRPr="004E4E76">
              <w:rPr>
                <w:sz w:val="22"/>
              </w:rPr>
              <w:t>125</w:t>
            </w:r>
          </w:p>
        </w:tc>
      </w:tr>
    </w:tbl>
    <w:p w14:paraId="04153034" w14:textId="77777777" w:rsidR="000E0A76" w:rsidRPr="002C2373" w:rsidRDefault="000E0A76" w:rsidP="000E0A76">
      <w:pPr>
        <w:pStyle w:val="Header"/>
        <w:ind w:left="1440"/>
        <w:rPr>
          <w:sz w:val="22"/>
        </w:rPr>
      </w:pPr>
    </w:p>
    <w:p w14:paraId="3BE6F3C3" w14:textId="77777777" w:rsidR="000E0A76" w:rsidRPr="002C2373" w:rsidRDefault="000E0A76" w:rsidP="000E0A76">
      <w:pPr>
        <w:pStyle w:val="Header"/>
      </w:pPr>
    </w:p>
    <w:p w14:paraId="26225483" w14:textId="0AF0CC62" w:rsidR="000E0A76" w:rsidRDefault="00C509A0" w:rsidP="00CE0424">
      <w:pPr>
        <w:pStyle w:val="BodyText"/>
      </w:pPr>
      <w:r>
        <w:t>From the agreements, it can be understood that for the intra-band FDD EN-DC, collocated case is assumed. This means that the propagation delay difference should be zero in thi</w:t>
      </w:r>
      <w:r w:rsidR="00BC4122">
        <w:t>s</w:t>
      </w:r>
      <w:r>
        <w:t xml:space="preserve"> case. However, there can still be timing </w:t>
      </w:r>
      <w:r w:rsidR="00BC4122">
        <w:t xml:space="preserve">reception </w:t>
      </w:r>
      <w:r>
        <w:t>difference in the UE up to 0.5 seconds. This means that the transmission</w:t>
      </w:r>
      <w:r w:rsidR="00BC4122">
        <w:t xml:space="preserve">s </w:t>
      </w:r>
      <w:r>
        <w:t xml:space="preserve">between LTE eNB and NR gNB can be asynchronous. </w:t>
      </w:r>
    </w:p>
    <w:p w14:paraId="0F6E8EC9" w14:textId="219F1DF1" w:rsidR="00BC4122" w:rsidRDefault="00990873" w:rsidP="00CE0424">
      <w:pPr>
        <w:pStyle w:val="BodyText"/>
      </w:pPr>
      <w:r>
        <w:t xml:space="preserve">Understanding from the </w:t>
      </w:r>
      <w:r w:rsidR="00BC4122">
        <w:t xml:space="preserve">RAN4 </w:t>
      </w:r>
      <w:r>
        <w:t xml:space="preserve">agreements that in </w:t>
      </w:r>
      <w:r w:rsidR="00C92973">
        <w:t xml:space="preserve">this scenario, support of asynchronous operation is up to UE capabilities. RAN4 agreements say that this is the case in case of separate RF chains. </w:t>
      </w:r>
      <w:r w:rsidR="00591671">
        <w:t>From this it can be derived that single capability bit is sufficient.</w:t>
      </w:r>
    </w:p>
    <w:p w14:paraId="09A4A1B5" w14:textId="3A88686E" w:rsidR="00C92973" w:rsidRPr="00C92973" w:rsidRDefault="00102BBE" w:rsidP="00C92973">
      <w:pPr>
        <w:pStyle w:val="Proposal"/>
      </w:pPr>
      <w:bookmarkStart w:id="7" w:name="_Toc498530440"/>
      <w:bookmarkStart w:id="8" w:name="_Toc498644598"/>
      <w:r>
        <w:t>In i</w:t>
      </w:r>
      <w:r w:rsidR="00C92973">
        <w:t xml:space="preserve">ntra-band </w:t>
      </w:r>
      <w:r>
        <w:t xml:space="preserve">FDD </w:t>
      </w:r>
      <w:r w:rsidR="00C92973">
        <w:t>EN-DC, a single capability bit is introduced to indicate if the UE supports asynchronous/synchronous operation.</w:t>
      </w:r>
      <w:bookmarkEnd w:id="7"/>
      <w:bookmarkEnd w:id="8"/>
    </w:p>
    <w:p w14:paraId="0552CB0F" w14:textId="02C9126B" w:rsidR="00990873" w:rsidRDefault="00990873" w:rsidP="00CE0424">
      <w:pPr>
        <w:pStyle w:val="BodyText"/>
      </w:pPr>
    </w:p>
    <w:p w14:paraId="76D44B24" w14:textId="41697583" w:rsidR="00990873" w:rsidRDefault="00990873" w:rsidP="00990873">
      <w:pPr>
        <w:pStyle w:val="Heading2"/>
      </w:pPr>
      <w:r>
        <w:t>Impacts on other features</w:t>
      </w:r>
    </w:p>
    <w:p w14:paraId="05CE01D4" w14:textId="47DA3D03" w:rsidR="00990873" w:rsidRDefault="00990873" w:rsidP="00990873"/>
    <w:p w14:paraId="01C3186D" w14:textId="123AA54A" w:rsidR="00C92973" w:rsidRDefault="00990873" w:rsidP="00990873">
      <w:pPr>
        <w:rPr>
          <w:u w:val="single"/>
        </w:rPr>
      </w:pPr>
      <w:r w:rsidRPr="00990873">
        <w:rPr>
          <w:u w:val="single"/>
        </w:rPr>
        <w:t>Single TX operation</w:t>
      </w:r>
    </w:p>
    <w:p w14:paraId="3E09881A" w14:textId="76F8458B" w:rsidR="00C92973" w:rsidRDefault="00C92973" w:rsidP="00990873">
      <w:r w:rsidRPr="00C92973">
        <w:t xml:space="preserve">In the single TX operation, the UE is not capable to transmit simultaneously in LTE cells and NR cells. It has not been discussed if the cells are assumed to </w:t>
      </w:r>
      <w:r w:rsidR="00591671">
        <w:t xml:space="preserve">be </w:t>
      </w:r>
      <w:r w:rsidRPr="00C92973">
        <w:t xml:space="preserve">synchronous or not synchronous. In our understanding, both modes may be assumed. However, in the asynchronous case, </w:t>
      </w:r>
      <w:r w:rsidR="00591671" w:rsidRPr="00C92973">
        <w:t>transmission</w:t>
      </w:r>
      <w:r w:rsidRPr="00C92973">
        <w:t xml:space="preserve"> in one RAT in one UL s</w:t>
      </w:r>
      <w:r w:rsidR="006A35EE">
        <w:t>ubframes may impacts two uplink subrames</w:t>
      </w:r>
      <w:r w:rsidRPr="00C92973">
        <w:t>.</w:t>
      </w:r>
      <w:r w:rsidR="006A35EE">
        <w:t xml:space="preserve"> </w:t>
      </w:r>
      <w:r w:rsidR="00591671">
        <w:t>Thus it is more inefficient. Anyhow, we do not think that there is need to optimise this case.</w:t>
      </w:r>
    </w:p>
    <w:p w14:paraId="31D0DBE1" w14:textId="01BF0C94" w:rsidR="00990873" w:rsidRDefault="00990873" w:rsidP="00990873"/>
    <w:p w14:paraId="0604E45D" w14:textId="186AC81F" w:rsidR="006A35EE" w:rsidRDefault="006A35EE" w:rsidP="006A35EE">
      <w:pPr>
        <w:pStyle w:val="Proposal"/>
      </w:pPr>
      <w:bookmarkStart w:id="9" w:name="_Toc498530441"/>
      <w:bookmarkStart w:id="10" w:name="_Toc498644599"/>
      <w:r>
        <w:t xml:space="preserve">Single TX operation </w:t>
      </w:r>
      <w:r w:rsidR="00591671">
        <w:t xml:space="preserve">may supported with synchronised and non-synchronised </w:t>
      </w:r>
      <w:r w:rsidR="00181969">
        <w:t>operation</w:t>
      </w:r>
      <w:bookmarkEnd w:id="9"/>
      <w:bookmarkEnd w:id="10"/>
    </w:p>
    <w:p w14:paraId="4820E5E9" w14:textId="77777777" w:rsidR="006A35EE" w:rsidRPr="00990873" w:rsidRDefault="006A35EE" w:rsidP="00591671">
      <w:pPr>
        <w:pStyle w:val="Proposal"/>
        <w:numPr>
          <w:ilvl w:val="0"/>
          <w:numId w:val="0"/>
        </w:numPr>
        <w:ind w:left="1701"/>
      </w:pPr>
    </w:p>
    <w:p w14:paraId="0C5C7F98" w14:textId="6843C4EA" w:rsidR="00990873" w:rsidRPr="00990873" w:rsidRDefault="00990873" w:rsidP="00990873">
      <w:pPr>
        <w:rPr>
          <w:u w:val="single"/>
        </w:rPr>
      </w:pPr>
      <w:r>
        <w:rPr>
          <w:u w:val="single"/>
        </w:rPr>
        <w:t>Power headroom reporting</w:t>
      </w:r>
    </w:p>
    <w:p w14:paraId="72FE455C" w14:textId="37F4DB6E" w:rsidR="00C509A0" w:rsidRDefault="00C92973" w:rsidP="00CE0424">
      <w:pPr>
        <w:pStyle w:val="BodyText"/>
      </w:pPr>
      <w:r>
        <w:t>RAN1 has not agreed on</w:t>
      </w:r>
      <w:r w:rsidR="0035538A">
        <w:t xml:space="preserve"> different power headroom report</w:t>
      </w:r>
      <w:r>
        <w:t>ing modes in EN-DC. Thus there is no impact of the asynch/synch operation on that features.</w:t>
      </w:r>
    </w:p>
    <w:p w14:paraId="0B6E7FB8" w14:textId="77777777" w:rsidR="00C92973" w:rsidRDefault="00C92973" w:rsidP="00CE0424">
      <w:pPr>
        <w:pStyle w:val="BodyText"/>
      </w:pPr>
    </w:p>
    <w:p w14:paraId="5D5EAC11" w14:textId="10C45C8C" w:rsidR="003742AC" w:rsidRPr="00181969" w:rsidRDefault="00990873" w:rsidP="006E062C">
      <w:pPr>
        <w:rPr>
          <w:u w:val="single"/>
        </w:rPr>
      </w:pPr>
      <w:r>
        <w:rPr>
          <w:u w:val="single"/>
        </w:rPr>
        <w:t>Measurement gaps</w:t>
      </w:r>
    </w:p>
    <w:p w14:paraId="1ABA8ACA" w14:textId="4F2BCBFE" w:rsidR="00C92973" w:rsidRPr="00CE0424" w:rsidRDefault="00C92973" w:rsidP="006E062C">
      <w:r>
        <w:lastRenderedPageBreak/>
        <w:t xml:space="preserve">For the measurement gaps, asynchronous operation </w:t>
      </w:r>
      <w:r w:rsidR="00102BBE">
        <w:t>need to be considered</w:t>
      </w:r>
      <w:r w:rsidR="00181969">
        <w:t xml:space="preserve">, even thought SSB timing </w:t>
      </w:r>
      <w:r w:rsidR="00102BBE">
        <w:t xml:space="preserve">might be </w:t>
      </w:r>
      <w:r w:rsidR="00181969">
        <w:t>synchronised</w:t>
      </w:r>
      <w:r w:rsidR="00102BBE">
        <w:t xml:space="preserve"> in some level</w:t>
      </w:r>
      <w:r w:rsidR="00181969">
        <w:t>. The gap needs to be long enough so that the UE can read SSB from the neighbouring cells.</w:t>
      </w:r>
    </w:p>
    <w:p w14:paraId="13FBF9FF" w14:textId="77777777" w:rsidR="00C01F33" w:rsidRPr="00CE0424" w:rsidRDefault="00C01F33" w:rsidP="00CE0424">
      <w:pPr>
        <w:pStyle w:val="Heading1"/>
      </w:pPr>
      <w:r w:rsidRPr="00CE0424">
        <w:t>Conclusion</w:t>
      </w:r>
    </w:p>
    <w:p w14:paraId="3474A60B" w14:textId="2A9C5E62" w:rsidR="008E065E" w:rsidRDefault="008E065E" w:rsidP="008E065E">
      <w:pPr>
        <w:pStyle w:val="BodyText"/>
        <w:rPr>
          <w:b/>
          <w:bCs/>
        </w:rPr>
      </w:pPr>
    </w:p>
    <w:p w14:paraId="5AB77DE4" w14:textId="77777777" w:rsidR="00102BB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E0A7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C65790E" w14:textId="77777777" w:rsidR="00102BBE" w:rsidRPr="00102BBE" w:rsidRDefault="00102BBE">
      <w:pPr>
        <w:pStyle w:val="TOC1"/>
        <w:rPr>
          <w:rFonts w:asciiTheme="minorHAnsi" w:eastAsiaTheme="minorEastAsia" w:hAnsiTheme="minorHAnsi" w:cstheme="minorBidi"/>
          <w:b w:val="0"/>
          <w:sz w:val="22"/>
          <w:lang w:eastAsia="fi-FI"/>
        </w:rPr>
      </w:pPr>
      <w:r w:rsidRPr="00F0373B">
        <w:t>Proposal 1</w:t>
      </w:r>
      <w:r w:rsidRPr="00102BBE">
        <w:rPr>
          <w:rFonts w:asciiTheme="minorHAnsi" w:eastAsiaTheme="minorEastAsia" w:hAnsiTheme="minorHAnsi" w:cstheme="minorBidi"/>
          <w:b w:val="0"/>
          <w:sz w:val="22"/>
          <w:lang w:eastAsia="fi-FI"/>
        </w:rPr>
        <w:tab/>
      </w:r>
      <w:r w:rsidRPr="00F0373B">
        <w:t>In inter-band EN-DC, asynchronous UE operation is default operation and thus no separate capabilities are needed</w:t>
      </w:r>
    </w:p>
    <w:p w14:paraId="6BE1F722" w14:textId="77777777" w:rsidR="00102BBE" w:rsidRPr="00102BBE" w:rsidRDefault="00102BBE">
      <w:pPr>
        <w:pStyle w:val="TOC1"/>
        <w:rPr>
          <w:rFonts w:asciiTheme="minorHAnsi" w:eastAsiaTheme="minorEastAsia" w:hAnsiTheme="minorHAnsi" w:cstheme="minorBidi"/>
          <w:b w:val="0"/>
          <w:sz w:val="22"/>
          <w:lang w:eastAsia="fi-FI"/>
        </w:rPr>
      </w:pPr>
      <w:r w:rsidRPr="00F0373B">
        <w:t>Proposal 2</w:t>
      </w:r>
      <w:r w:rsidRPr="00102BBE">
        <w:rPr>
          <w:rFonts w:asciiTheme="minorHAnsi" w:eastAsiaTheme="minorEastAsia" w:hAnsiTheme="minorHAnsi" w:cstheme="minorBidi"/>
          <w:b w:val="0"/>
          <w:sz w:val="22"/>
          <w:lang w:eastAsia="fi-FI"/>
        </w:rPr>
        <w:tab/>
      </w:r>
      <w:r w:rsidRPr="00F0373B">
        <w:t>On default, the UE should support simultaneous RXTX in EN-DC. If (in)capability bit is still necessary on this case, it should be one bit per UE.</w:t>
      </w:r>
    </w:p>
    <w:p w14:paraId="56D2C684" w14:textId="77777777" w:rsidR="00102BBE" w:rsidRPr="00102BBE" w:rsidRDefault="00102BBE">
      <w:pPr>
        <w:pStyle w:val="TOC1"/>
        <w:rPr>
          <w:rFonts w:asciiTheme="minorHAnsi" w:eastAsiaTheme="minorEastAsia" w:hAnsiTheme="minorHAnsi" w:cstheme="minorBidi"/>
          <w:b w:val="0"/>
          <w:sz w:val="22"/>
          <w:lang w:eastAsia="fi-FI"/>
        </w:rPr>
      </w:pPr>
      <w:r>
        <w:t>Proposal 3</w:t>
      </w:r>
      <w:r w:rsidRPr="00102BBE">
        <w:rPr>
          <w:rFonts w:asciiTheme="minorHAnsi" w:eastAsiaTheme="minorEastAsia" w:hAnsiTheme="minorHAnsi" w:cstheme="minorBidi"/>
          <w:b w:val="0"/>
          <w:sz w:val="22"/>
          <w:lang w:eastAsia="fi-FI"/>
        </w:rPr>
        <w:tab/>
      </w:r>
      <w:r>
        <w:t>In intra-band TDD EN-DC, the synchronous operation is only supported in Rel-15. No separate UE capability is needed to indicate support of that.</w:t>
      </w:r>
    </w:p>
    <w:p w14:paraId="6F1696D5" w14:textId="77777777" w:rsidR="00102BBE" w:rsidRPr="00102BBE" w:rsidRDefault="00102BBE">
      <w:pPr>
        <w:pStyle w:val="TOC1"/>
        <w:rPr>
          <w:rFonts w:asciiTheme="minorHAnsi" w:eastAsiaTheme="minorEastAsia" w:hAnsiTheme="minorHAnsi" w:cstheme="minorBidi"/>
          <w:b w:val="0"/>
          <w:sz w:val="22"/>
          <w:lang w:eastAsia="fi-FI"/>
        </w:rPr>
      </w:pPr>
      <w:r>
        <w:t>Proposal 4</w:t>
      </w:r>
      <w:r w:rsidRPr="00102BBE">
        <w:rPr>
          <w:rFonts w:asciiTheme="minorHAnsi" w:eastAsiaTheme="minorEastAsia" w:hAnsiTheme="minorHAnsi" w:cstheme="minorBidi"/>
          <w:b w:val="0"/>
          <w:sz w:val="22"/>
          <w:lang w:eastAsia="fi-FI"/>
        </w:rPr>
        <w:tab/>
      </w:r>
      <w:r>
        <w:t>In intra-band FDD EN-DC, a single capability bit is introduced to indicate if the UE supports asynchronous/synchronous operation.</w:t>
      </w:r>
    </w:p>
    <w:p w14:paraId="50A56443" w14:textId="77777777" w:rsidR="00102BBE" w:rsidRPr="00102BBE" w:rsidRDefault="00102BBE">
      <w:pPr>
        <w:pStyle w:val="TOC1"/>
        <w:rPr>
          <w:rFonts w:asciiTheme="minorHAnsi" w:eastAsiaTheme="minorEastAsia" w:hAnsiTheme="minorHAnsi" w:cstheme="minorBidi"/>
          <w:b w:val="0"/>
          <w:sz w:val="22"/>
          <w:lang w:eastAsia="fi-FI"/>
        </w:rPr>
      </w:pPr>
      <w:r>
        <w:t>Proposal 5</w:t>
      </w:r>
      <w:r w:rsidRPr="00102BBE">
        <w:rPr>
          <w:rFonts w:asciiTheme="minorHAnsi" w:eastAsiaTheme="minorEastAsia" w:hAnsiTheme="minorHAnsi" w:cstheme="minorBidi"/>
          <w:b w:val="0"/>
          <w:sz w:val="22"/>
          <w:lang w:eastAsia="fi-FI"/>
        </w:rPr>
        <w:tab/>
      </w:r>
      <w:r>
        <w:t>Single TX operation may supported with synchronised and non-synchronised operation</w:t>
      </w:r>
    </w:p>
    <w:p w14:paraId="09AD681F" w14:textId="3B849551" w:rsidR="008E065E" w:rsidRPr="00CE0424" w:rsidRDefault="008E065E" w:rsidP="008E065E">
      <w:pPr>
        <w:rPr>
          <w:b/>
          <w:bCs/>
        </w:rPr>
      </w:pPr>
      <w:r>
        <w:rPr>
          <w:b/>
          <w:bCs/>
        </w:rPr>
        <w:fldChar w:fldCharType="end"/>
      </w:r>
      <w:bookmarkStart w:id="11" w:name="_GoBack"/>
      <w:bookmarkEnd w:id="11"/>
    </w:p>
    <w:sectPr w:rsidR="008E065E"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B03DFA" w14:textId="77777777" w:rsidR="006A35EE" w:rsidRDefault="006A35EE">
      <w:r>
        <w:separator/>
      </w:r>
    </w:p>
  </w:endnote>
  <w:endnote w:type="continuationSeparator" w:id="0">
    <w:p w14:paraId="2554B57C" w14:textId="77777777" w:rsidR="006A35EE" w:rsidRDefault="006A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14A4D" w14:textId="7A98B594" w:rsidR="006A35EE" w:rsidRDefault="006A35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2BBE">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2BB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4937E" w14:textId="77777777" w:rsidR="006A35EE" w:rsidRDefault="006A35EE">
      <w:r>
        <w:separator/>
      </w:r>
    </w:p>
  </w:footnote>
  <w:footnote w:type="continuationSeparator" w:id="0">
    <w:p w14:paraId="15CD130B" w14:textId="77777777" w:rsidR="006A35EE" w:rsidRDefault="006A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38EB" w14:textId="77777777" w:rsidR="006A35EE" w:rsidRDefault="006A35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8822DE"/>
    <w:multiLevelType w:val="hybridMultilevel"/>
    <w:tmpl w:val="3DC4F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C820527"/>
    <w:multiLevelType w:val="hybridMultilevel"/>
    <w:tmpl w:val="BF42B9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682553"/>
    <w:multiLevelType w:val="hybridMultilevel"/>
    <w:tmpl w:val="36604972"/>
    <w:lvl w:ilvl="0" w:tplc="69903916">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E7D09692" w:tentative="1">
      <w:start w:val="1"/>
      <w:numFmt w:val="bullet"/>
      <w:lvlText w:val="•"/>
      <w:lvlJc w:val="left"/>
      <w:pPr>
        <w:tabs>
          <w:tab w:val="num" w:pos="2160"/>
        </w:tabs>
        <w:ind w:left="2160" w:hanging="360"/>
      </w:pPr>
      <w:rPr>
        <w:rFonts w:ascii="Arial" w:hAnsi="Arial" w:hint="default"/>
      </w:rPr>
    </w:lvl>
    <w:lvl w:ilvl="3" w:tplc="DAC8A454" w:tentative="1">
      <w:start w:val="1"/>
      <w:numFmt w:val="bullet"/>
      <w:lvlText w:val="•"/>
      <w:lvlJc w:val="left"/>
      <w:pPr>
        <w:tabs>
          <w:tab w:val="num" w:pos="2880"/>
        </w:tabs>
        <w:ind w:left="2880" w:hanging="360"/>
      </w:pPr>
      <w:rPr>
        <w:rFonts w:ascii="Arial" w:hAnsi="Arial" w:hint="default"/>
      </w:rPr>
    </w:lvl>
    <w:lvl w:ilvl="4" w:tplc="9F90D564" w:tentative="1">
      <w:start w:val="1"/>
      <w:numFmt w:val="bullet"/>
      <w:lvlText w:val="•"/>
      <w:lvlJc w:val="left"/>
      <w:pPr>
        <w:tabs>
          <w:tab w:val="num" w:pos="3600"/>
        </w:tabs>
        <w:ind w:left="3600" w:hanging="360"/>
      </w:pPr>
      <w:rPr>
        <w:rFonts w:ascii="Arial" w:hAnsi="Arial" w:hint="default"/>
      </w:rPr>
    </w:lvl>
    <w:lvl w:ilvl="5" w:tplc="11F67D94" w:tentative="1">
      <w:start w:val="1"/>
      <w:numFmt w:val="bullet"/>
      <w:lvlText w:val="•"/>
      <w:lvlJc w:val="left"/>
      <w:pPr>
        <w:tabs>
          <w:tab w:val="num" w:pos="4320"/>
        </w:tabs>
        <w:ind w:left="4320" w:hanging="360"/>
      </w:pPr>
      <w:rPr>
        <w:rFonts w:ascii="Arial" w:hAnsi="Arial" w:hint="default"/>
      </w:rPr>
    </w:lvl>
    <w:lvl w:ilvl="6" w:tplc="07C800E2" w:tentative="1">
      <w:start w:val="1"/>
      <w:numFmt w:val="bullet"/>
      <w:lvlText w:val="•"/>
      <w:lvlJc w:val="left"/>
      <w:pPr>
        <w:tabs>
          <w:tab w:val="num" w:pos="5040"/>
        </w:tabs>
        <w:ind w:left="5040" w:hanging="360"/>
      </w:pPr>
      <w:rPr>
        <w:rFonts w:ascii="Arial" w:hAnsi="Arial" w:hint="default"/>
      </w:rPr>
    </w:lvl>
    <w:lvl w:ilvl="7" w:tplc="50345816" w:tentative="1">
      <w:start w:val="1"/>
      <w:numFmt w:val="bullet"/>
      <w:lvlText w:val="•"/>
      <w:lvlJc w:val="left"/>
      <w:pPr>
        <w:tabs>
          <w:tab w:val="num" w:pos="5760"/>
        </w:tabs>
        <w:ind w:left="5760" w:hanging="360"/>
      </w:pPr>
      <w:rPr>
        <w:rFonts w:ascii="Arial" w:hAnsi="Arial" w:hint="default"/>
      </w:rPr>
    </w:lvl>
    <w:lvl w:ilvl="8" w:tplc="A99E8E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5"/>
  </w:num>
  <w:num w:numId="17">
    <w:abstractNumId w:val="6"/>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A76"/>
    <w:rsid w:val="000006E1"/>
    <w:rsid w:val="00002A37"/>
    <w:rsid w:val="000039F4"/>
    <w:rsid w:val="00006446"/>
    <w:rsid w:val="00006896"/>
    <w:rsid w:val="00007CDC"/>
    <w:rsid w:val="00011B28"/>
    <w:rsid w:val="00015025"/>
    <w:rsid w:val="00015D15"/>
    <w:rsid w:val="0002564D"/>
    <w:rsid w:val="00025ECA"/>
    <w:rsid w:val="000325B8"/>
    <w:rsid w:val="0003436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0A76"/>
    <w:rsid w:val="000E1E92"/>
    <w:rsid w:val="000F06D6"/>
    <w:rsid w:val="000F0EB1"/>
    <w:rsid w:val="000F1106"/>
    <w:rsid w:val="000F3BE9"/>
    <w:rsid w:val="000F3F6C"/>
    <w:rsid w:val="000F6DF3"/>
    <w:rsid w:val="001005FF"/>
    <w:rsid w:val="00102A06"/>
    <w:rsid w:val="00102BB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97D"/>
    <w:rsid w:val="00177795"/>
    <w:rsid w:val="0018143F"/>
    <w:rsid w:val="00181969"/>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538A"/>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397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1671"/>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2707"/>
    <w:rsid w:val="00695FC2"/>
    <w:rsid w:val="00696949"/>
    <w:rsid w:val="00697052"/>
    <w:rsid w:val="006A35EE"/>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0698"/>
    <w:rsid w:val="0078177E"/>
    <w:rsid w:val="0078304C"/>
    <w:rsid w:val="00783673"/>
    <w:rsid w:val="00785490"/>
    <w:rsid w:val="007925EA"/>
    <w:rsid w:val="00793CD8"/>
    <w:rsid w:val="00795C92"/>
    <w:rsid w:val="00796231"/>
    <w:rsid w:val="007A1CB3"/>
    <w:rsid w:val="007A306F"/>
    <w:rsid w:val="007A43A6"/>
    <w:rsid w:val="007A58A6"/>
    <w:rsid w:val="007A6A3B"/>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DEB"/>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0873"/>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122"/>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9A0"/>
    <w:rsid w:val="00C54995"/>
    <w:rsid w:val="00C54D41"/>
    <w:rsid w:val="00C60783"/>
    <w:rsid w:val="00C64672"/>
    <w:rsid w:val="00C70697"/>
    <w:rsid w:val="00C72EF4"/>
    <w:rsid w:val="00C75D2F"/>
    <w:rsid w:val="00C767BE"/>
    <w:rsid w:val="00C76E3C"/>
    <w:rsid w:val="00C81568"/>
    <w:rsid w:val="00C9027A"/>
    <w:rsid w:val="00C9068E"/>
    <w:rsid w:val="00C92973"/>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090F"/>
    <w:rsid w:val="00E22330"/>
    <w:rsid w:val="00E30B5A"/>
    <w:rsid w:val="00E3123D"/>
    <w:rsid w:val="00E31461"/>
    <w:rsid w:val="00E31D43"/>
    <w:rsid w:val="00E32608"/>
    <w:rsid w:val="00E33861"/>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A530DE"/>
  <w15:chartTrackingRefBased/>
  <w15:docId w15:val="{84BE6D74-7B63-4D11-A55D-5A2C0C357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B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02B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02B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02BBE"/>
    <w:pPr>
      <w:numPr>
        <w:ilvl w:val="2"/>
      </w:numPr>
      <w:spacing w:before="120"/>
      <w:outlineLvl w:val="2"/>
    </w:pPr>
    <w:rPr>
      <w:sz w:val="28"/>
      <w:szCs w:val="28"/>
    </w:rPr>
  </w:style>
  <w:style w:type="paragraph" w:styleId="Heading4">
    <w:name w:val="heading 4"/>
    <w:basedOn w:val="Heading3"/>
    <w:next w:val="Normal"/>
    <w:qFormat/>
    <w:rsid w:val="00102BBE"/>
    <w:pPr>
      <w:numPr>
        <w:ilvl w:val="3"/>
      </w:numPr>
      <w:outlineLvl w:val="3"/>
    </w:pPr>
    <w:rPr>
      <w:sz w:val="24"/>
      <w:szCs w:val="24"/>
    </w:rPr>
  </w:style>
  <w:style w:type="paragraph" w:styleId="Heading5">
    <w:name w:val="heading 5"/>
    <w:basedOn w:val="Heading4"/>
    <w:next w:val="Normal"/>
    <w:qFormat/>
    <w:rsid w:val="00102BBE"/>
    <w:pPr>
      <w:numPr>
        <w:ilvl w:val="4"/>
      </w:numPr>
      <w:outlineLvl w:val="4"/>
    </w:pPr>
    <w:rPr>
      <w:sz w:val="22"/>
      <w:szCs w:val="22"/>
    </w:rPr>
  </w:style>
  <w:style w:type="paragraph" w:styleId="Heading6">
    <w:name w:val="heading 6"/>
    <w:basedOn w:val="Normal"/>
    <w:next w:val="Normal"/>
    <w:qFormat/>
    <w:rsid w:val="00102BBE"/>
    <w:pPr>
      <w:keepNext/>
      <w:keepLines/>
      <w:numPr>
        <w:ilvl w:val="5"/>
        <w:numId w:val="1"/>
      </w:numPr>
      <w:spacing w:before="120"/>
      <w:outlineLvl w:val="5"/>
    </w:pPr>
    <w:rPr>
      <w:rFonts w:cs="Arial"/>
    </w:rPr>
  </w:style>
  <w:style w:type="paragraph" w:styleId="Heading7">
    <w:name w:val="heading 7"/>
    <w:basedOn w:val="Normal"/>
    <w:next w:val="Normal"/>
    <w:qFormat/>
    <w:rsid w:val="00102BBE"/>
    <w:pPr>
      <w:keepNext/>
      <w:keepLines/>
      <w:numPr>
        <w:ilvl w:val="6"/>
        <w:numId w:val="1"/>
      </w:numPr>
      <w:spacing w:before="120"/>
      <w:outlineLvl w:val="6"/>
    </w:pPr>
    <w:rPr>
      <w:rFonts w:cs="Arial"/>
    </w:rPr>
  </w:style>
  <w:style w:type="paragraph" w:styleId="Heading8">
    <w:name w:val="heading 8"/>
    <w:basedOn w:val="Heading7"/>
    <w:next w:val="Normal"/>
    <w:qFormat/>
    <w:rsid w:val="00102BBE"/>
    <w:pPr>
      <w:numPr>
        <w:ilvl w:val="7"/>
      </w:numPr>
      <w:outlineLvl w:val="7"/>
    </w:pPr>
  </w:style>
  <w:style w:type="paragraph" w:styleId="Heading9">
    <w:name w:val="heading 9"/>
    <w:basedOn w:val="Heading8"/>
    <w:next w:val="Normal"/>
    <w:qFormat/>
    <w:rsid w:val="00102BBE"/>
    <w:pPr>
      <w:numPr>
        <w:ilvl w:val="8"/>
      </w:numPr>
      <w:outlineLvl w:val="8"/>
    </w:pPr>
  </w:style>
  <w:style w:type="character" w:default="1" w:styleId="DefaultParagraphFont">
    <w:name w:val="Default Paragraph Font"/>
    <w:uiPriority w:val="1"/>
    <w:semiHidden/>
    <w:unhideWhenUsed/>
    <w:rsid w:val="00102B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BBE"/>
  </w:style>
  <w:style w:type="paragraph" w:styleId="TOC8">
    <w:name w:val="toc 8"/>
    <w:basedOn w:val="TOC1"/>
    <w:semiHidden/>
    <w:rsid w:val="00102BBE"/>
    <w:pPr>
      <w:spacing w:before="180"/>
      <w:ind w:left="2693" w:hanging="2693"/>
    </w:pPr>
    <w:rPr>
      <w:b w:val="0"/>
      <w:bCs/>
    </w:rPr>
  </w:style>
  <w:style w:type="paragraph" w:styleId="TOC1">
    <w:name w:val="toc 1"/>
    <w:aliases w:val="Observation TOC2"/>
    <w:uiPriority w:val="39"/>
    <w:rsid w:val="00102BB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02BBE"/>
    <w:pPr>
      <w:keepNext/>
      <w:keepLines/>
      <w:spacing w:before="180"/>
      <w:jc w:val="center"/>
    </w:pPr>
  </w:style>
  <w:style w:type="paragraph" w:styleId="Caption">
    <w:name w:val="caption"/>
    <w:basedOn w:val="Normal"/>
    <w:next w:val="Normal"/>
    <w:qFormat/>
    <w:rsid w:val="00102BBE"/>
    <w:pPr>
      <w:spacing w:after="240"/>
      <w:jc w:val="center"/>
    </w:pPr>
    <w:rPr>
      <w:b/>
      <w:bCs/>
    </w:rPr>
  </w:style>
  <w:style w:type="paragraph" w:styleId="TOC5">
    <w:name w:val="toc 5"/>
    <w:aliases w:val="Observation TOC"/>
    <w:basedOn w:val="TOC4"/>
    <w:semiHidden/>
    <w:rsid w:val="00102BBE"/>
    <w:pPr>
      <w:tabs>
        <w:tab w:val="right" w:pos="1701"/>
      </w:tabs>
      <w:ind w:left="1701" w:hanging="1701"/>
    </w:pPr>
  </w:style>
  <w:style w:type="paragraph" w:styleId="TOC4">
    <w:name w:val="toc 4"/>
    <w:basedOn w:val="TOC3"/>
    <w:semiHidden/>
    <w:rsid w:val="00102BBE"/>
    <w:pPr>
      <w:ind w:left="1418" w:hanging="1418"/>
    </w:pPr>
  </w:style>
  <w:style w:type="paragraph" w:styleId="TOC3">
    <w:name w:val="toc 3"/>
    <w:basedOn w:val="TOC2"/>
    <w:semiHidden/>
    <w:rsid w:val="00102BBE"/>
    <w:pPr>
      <w:ind w:left="1134" w:hanging="1134"/>
    </w:pPr>
  </w:style>
  <w:style w:type="paragraph" w:styleId="TOC2">
    <w:name w:val="toc 2"/>
    <w:basedOn w:val="TOC1"/>
    <w:semiHidden/>
    <w:rsid w:val="00102BBE"/>
    <w:pPr>
      <w:keepNext w:val="0"/>
      <w:spacing w:before="0"/>
      <w:ind w:left="851" w:hanging="851"/>
    </w:pPr>
    <w:rPr>
      <w:szCs w:val="20"/>
    </w:rPr>
  </w:style>
  <w:style w:type="paragraph" w:styleId="Index2">
    <w:name w:val="index 2"/>
    <w:basedOn w:val="Index1"/>
    <w:semiHidden/>
    <w:rsid w:val="00102BBE"/>
    <w:pPr>
      <w:ind w:left="284"/>
    </w:pPr>
  </w:style>
  <w:style w:type="paragraph" w:styleId="Index1">
    <w:name w:val="index 1"/>
    <w:basedOn w:val="Normal"/>
    <w:semiHidden/>
    <w:rsid w:val="00102BBE"/>
    <w:pPr>
      <w:keepLines/>
      <w:spacing w:after="0"/>
    </w:pPr>
  </w:style>
  <w:style w:type="paragraph" w:styleId="DocumentMap">
    <w:name w:val="Document Map"/>
    <w:basedOn w:val="Normal"/>
    <w:semiHidden/>
    <w:rsid w:val="00102BBE"/>
    <w:pPr>
      <w:shd w:val="clear" w:color="auto" w:fill="000080"/>
    </w:pPr>
    <w:rPr>
      <w:rFonts w:ascii="Tahoma" w:hAnsi="Tahoma" w:cs="Tahoma"/>
    </w:rPr>
  </w:style>
  <w:style w:type="paragraph" w:styleId="ListNumber2">
    <w:name w:val="List Number 2"/>
    <w:basedOn w:val="ListNumber"/>
    <w:rsid w:val="00102BBE"/>
    <w:pPr>
      <w:ind w:left="851"/>
    </w:pPr>
  </w:style>
  <w:style w:type="paragraph" w:styleId="ListNumber">
    <w:name w:val="List Number"/>
    <w:basedOn w:val="List"/>
    <w:rsid w:val="00102BBE"/>
  </w:style>
  <w:style w:type="paragraph" w:styleId="List">
    <w:name w:val="List"/>
    <w:basedOn w:val="Normal"/>
    <w:rsid w:val="00102BBE"/>
    <w:pPr>
      <w:ind w:left="568" w:hanging="284"/>
    </w:pPr>
  </w:style>
  <w:style w:type="paragraph" w:styleId="Header">
    <w:name w:val="header"/>
    <w:rsid w:val="00102BBE"/>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02BBE"/>
    <w:rPr>
      <w:b/>
      <w:bCs/>
      <w:position w:val="6"/>
      <w:sz w:val="16"/>
      <w:szCs w:val="16"/>
    </w:rPr>
  </w:style>
  <w:style w:type="paragraph" w:styleId="FootnoteText">
    <w:name w:val="footnote text"/>
    <w:basedOn w:val="Normal"/>
    <w:semiHidden/>
    <w:rsid w:val="00102BBE"/>
    <w:pPr>
      <w:keepLines/>
      <w:spacing w:after="0"/>
      <w:ind w:left="454" w:hanging="454"/>
    </w:pPr>
    <w:rPr>
      <w:sz w:val="16"/>
      <w:szCs w:val="16"/>
    </w:rPr>
  </w:style>
  <w:style w:type="paragraph" w:customStyle="1" w:styleId="3GPPHeader">
    <w:name w:val="3GPP_Header"/>
    <w:basedOn w:val="Normal"/>
    <w:rsid w:val="00102BBE"/>
    <w:pPr>
      <w:tabs>
        <w:tab w:val="left" w:pos="1701"/>
        <w:tab w:val="right" w:pos="9639"/>
      </w:tabs>
      <w:spacing w:after="240"/>
    </w:pPr>
    <w:rPr>
      <w:b/>
      <w:sz w:val="24"/>
    </w:rPr>
  </w:style>
  <w:style w:type="paragraph" w:styleId="TOC9">
    <w:name w:val="toc 9"/>
    <w:basedOn w:val="TOC8"/>
    <w:semiHidden/>
    <w:rsid w:val="00102BBE"/>
    <w:pPr>
      <w:ind w:left="1418" w:hanging="1418"/>
    </w:pPr>
  </w:style>
  <w:style w:type="paragraph" w:styleId="TOC6">
    <w:name w:val="toc 6"/>
    <w:basedOn w:val="TOC5"/>
    <w:next w:val="Normal"/>
    <w:semiHidden/>
    <w:rsid w:val="00102BBE"/>
    <w:pPr>
      <w:ind w:left="1985" w:hanging="1985"/>
    </w:pPr>
  </w:style>
  <w:style w:type="paragraph" w:styleId="TOC7">
    <w:name w:val="toc 7"/>
    <w:basedOn w:val="TOC6"/>
    <w:next w:val="Normal"/>
    <w:semiHidden/>
    <w:rsid w:val="00102BBE"/>
    <w:pPr>
      <w:ind w:left="2268" w:hanging="2268"/>
    </w:pPr>
  </w:style>
  <w:style w:type="paragraph" w:styleId="ListBullet2">
    <w:name w:val="List Bullet 2"/>
    <w:basedOn w:val="ListBullet"/>
    <w:rsid w:val="00102BBE"/>
    <w:pPr>
      <w:numPr>
        <w:numId w:val="6"/>
      </w:numPr>
    </w:pPr>
  </w:style>
  <w:style w:type="paragraph" w:styleId="ListBullet">
    <w:name w:val="List Bullet"/>
    <w:basedOn w:val="BodyText"/>
    <w:rsid w:val="00102BBE"/>
    <w:pPr>
      <w:numPr>
        <w:numId w:val="5"/>
      </w:numPr>
    </w:pPr>
  </w:style>
  <w:style w:type="paragraph" w:styleId="ListBullet3">
    <w:name w:val="List Bullet 3"/>
    <w:basedOn w:val="ListBullet2"/>
    <w:rsid w:val="00102BBE"/>
    <w:pPr>
      <w:numPr>
        <w:numId w:val="7"/>
      </w:numPr>
    </w:pPr>
  </w:style>
  <w:style w:type="paragraph" w:customStyle="1" w:styleId="EQ">
    <w:name w:val="EQ"/>
    <w:basedOn w:val="Normal"/>
    <w:next w:val="Normal"/>
    <w:rsid w:val="00102BBE"/>
    <w:pPr>
      <w:keepLines/>
      <w:tabs>
        <w:tab w:val="center" w:pos="4536"/>
        <w:tab w:val="right" w:pos="9072"/>
      </w:tabs>
      <w:spacing w:after="180"/>
      <w:jc w:val="left"/>
    </w:pPr>
    <w:rPr>
      <w:noProof/>
      <w:lang w:eastAsia="en-US"/>
    </w:rPr>
  </w:style>
  <w:style w:type="paragraph" w:styleId="List2">
    <w:name w:val="List 2"/>
    <w:basedOn w:val="List"/>
    <w:rsid w:val="00102BBE"/>
    <w:pPr>
      <w:ind w:left="851"/>
    </w:pPr>
  </w:style>
  <w:style w:type="paragraph" w:styleId="List3">
    <w:name w:val="List 3"/>
    <w:basedOn w:val="List2"/>
    <w:rsid w:val="00102BBE"/>
    <w:pPr>
      <w:ind w:left="1135"/>
    </w:pPr>
  </w:style>
  <w:style w:type="paragraph" w:styleId="List4">
    <w:name w:val="List 4"/>
    <w:basedOn w:val="List3"/>
    <w:rsid w:val="00102BBE"/>
    <w:pPr>
      <w:ind w:left="1418"/>
    </w:pPr>
  </w:style>
  <w:style w:type="paragraph" w:styleId="List5">
    <w:name w:val="List 5"/>
    <w:basedOn w:val="List4"/>
    <w:rsid w:val="00102BBE"/>
    <w:pPr>
      <w:ind w:left="1702"/>
    </w:pPr>
  </w:style>
  <w:style w:type="paragraph" w:customStyle="1" w:styleId="EditorsNote">
    <w:name w:val="Editor's Note"/>
    <w:basedOn w:val="Normal"/>
    <w:rsid w:val="00102BBE"/>
    <w:pPr>
      <w:keepLines/>
      <w:spacing w:after="180"/>
      <w:ind w:left="1135" w:hanging="851"/>
      <w:jc w:val="left"/>
    </w:pPr>
    <w:rPr>
      <w:color w:val="FF0000"/>
      <w:lang w:eastAsia="en-US"/>
    </w:rPr>
  </w:style>
  <w:style w:type="paragraph" w:styleId="ListBullet4">
    <w:name w:val="List Bullet 4"/>
    <w:basedOn w:val="ListBullet3"/>
    <w:rsid w:val="00102BBE"/>
    <w:pPr>
      <w:numPr>
        <w:numId w:val="8"/>
      </w:numPr>
    </w:pPr>
  </w:style>
  <w:style w:type="paragraph" w:styleId="ListBullet5">
    <w:name w:val="List Bullet 5"/>
    <w:basedOn w:val="ListBullet4"/>
    <w:rsid w:val="00102BBE"/>
    <w:pPr>
      <w:numPr>
        <w:numId w:val="4"/>
      </w:numPr>
    </w:pPr>
  </w:style>
  <w:style w:type="paragraph" w:styleId="Footer">
    <w:name w:val="footer"/>
    <w:basedOn w:val="Header"/>
    <w:semiHidden/>
    <w:rsid w:val="00102BBE"/>
    <w:pPr>
      <w:jc w:val="center"/>
    </w:pPr>
    <w:rPr>
      <w:i/>
      <w:iCs/>
    </w:rPr>
  </w:style>
  <w:style w:type="paragraph" w:customStyle="1" w:styleId="Reference">
    <w:name w:val="Reference"/>
    <w:basedOn w:val="Normal"/>
    <w:rsid w:val="00102BBE"/>
    <w:pPr>
      <w:numPr>
        <w:numId w:val="2"/>
      </w:numPr>
    </w:pPr>
  </w:style>
  <w:style w:type="paragraph" w:styleId="BalloonText">
    <w:name w:val="Balloon Text"/>
    <w:basedOn w:val="Normal"/>
    <w:semiHidden/>
    <w:rsid w:val="00102BBE"/>
    <w:rPr>
      <w:rFonts w:ascii="Tahoma" w:hAnsi="Tahoma" w:cs="Tahoma"/>
      <w:sz w:val="16"/>
      <w:szCs w:val="16"/>
    </w:rPr>
  </w:style>
  <w:style w:type="character" w:styleId="PageNumber">
    <w:name w:val="page number"/>
    <w:basedOn w:val="DefaultParagraphFont"/>
    <w:semiHidden/>
    <w:rsid w:val="00102BBE"/>
  </w:style>
  <w:style w:type="paragraph" w:styleId="BodyText">
    <w:name w:val="Body Text"/>
    <w:basedOn w:val="Normal"/>
    <w:link w:val="BodyTextChar"/>
    <w:rsid w:val="00102BBE"/>
  </w:style>
  <w:style w:type="character" w:styleId="Hyperlink">
    <w:name w:val="Hyperlink"/>
    <w:uiPriority w:val="99"/>
    <w:rsid w:val="00102BBE"/>
    <w:rPr>
      <w:color w:val="0000FF"/>
      <w:u w:val="single"/>
      <w:lang w:val="en-GB"/>
    </w:rPr>
  </w:style>
  <w:style w:type="character" w:styleId="FollowedHyperlink">
    <w:name w:val="FollowedHyperlink"/>
    <w:semiHidden/>
    <w:rsid w:val="00102BBE"/>
    <w:rPr>
      <w:color w:val="FF0000"/>
      <w:u w:val="single"/>
    </w:rPr>
  </w:style>
  <w:style w:type="character" w:styleId="CommentReference">
    <w:name w:val="annotation reference"/>
    <w:semiHidden/>
    <w:rsid w:val="00102BBE"/>
    <w:rPr>
      <w:sz w:val="16"/>
      <w:szCs w:val="16"/>
    </w:rPr>
  </w:style>
  <w:style w:type="paragraph" w:styleId="CommentText">
    <w:name w:val="annotation text"/>
    <w:basedOn w:val="Normal"/>
    <w:semiHidden/>
    <w:rsid w:val="00102BBE"/>
  </w:style>
  <w:style w:type="paragraph" w:styleId="CommentSubject">
    <w:name w:val="annotation subject"/>
    <w:basedOn w:val="CommentText"/>
    <w:next w:val="CommentText"/>
    <w:semiHidden/>
    <w:rsid w:val="00102BBE"/>
    <w:rPr>
      <w:b/>
      <w:bCs/>
    </w:rPr>
  </w:style>
  <w:style w:type="character" w:customStyle="1" w:styleId="Heading1Char">
    <w:name w:val="Heading 1 Char"/>
    <w:link w:val="Heading1"/>
    <w:rsid w:val="00102BBE"/>
    <w:rPr>
      <w:rFonts w:ascii="Arial" w:hAnsi="Arial" w:cs="Arial"/>
      <w:sz w:val="36"/>
      <w:szCs w:val="36"/>
      <w:lang w:val="en-GB" w:eastAsia="zh-CN"/>
    </w:rPr>
  </w:style>
  <w:style w:type="paragraph" w:customStyle="1" w:styleId="B1">
    <w:name w:val="B1"/>
    <w:basedOn w:val="List"/>
    <w:rsid w:val="00102BBE"/>
    <w:pPr>
      <w:spacing w:after="180"/>
      <w:jc w:val="left"/>
    </w:pPr>
    <w:rPr>
      <w:lang w:eastAsia="en-US"/>
    </w:rPr>
  </w:style>
  <w:style w:type="paragraph" w:customStyle="1" w:styleId="B2">
    <w:name w:val="B2"/>
    <w:basedOn w:val="List2"/>
    <w:rsid w:val="00102BBE"/>
    <w:pPr>
      <w:spacing w:after="180"/>
      <w:jc w:val="left"/>
    </w:pPr>
    <w:rPr>
      <w:lang w:eastAsia="en-US"/>
    </w:rPr>
  </w:style>
  <w:style w:type="paragraph" w:customStyle="1" w:styleId="B3">
    <w:name w:val="B3"/>
    <w:basedOn w:val="List3"/>
    <w:rsid w:val="00102BBE"/>
    <w:pPr>
      <w:spacing w:after="180"/>
      <w:jc w:val="left"/>
    </w:pPr>
    <w:rPr>
      <w:lang w:eastAsia="en-US"/>
    </w:rPr>
  </w:style>
  <w:style w:type="paragraph" w:customStyle="1" w:styleId="B4">
    <w:name w:val="B4"/>
    <w:basedOn w:val="List4"/>
    <w:rsid w:val="00102BBE"/>
    <w:pPr>
      <w:spacing w:after="180"/>
      <w:jc w:val="left"/>
    </w:pPr>
    <w:rPr>
      <w:lang w:eastAsia="en-US"/>
    </w:rPr>
  </w:style>
  <w:style w:type="paragraph" w:customStyle="1" w:styleId="Proposal">
    <w:name w:val="Proposal"/>
    <w:basedOn w:val="Normal"/>
    <w:rsid w:val="00102BBE"/>
    <w:pPr>
      <w:numPr>
        <w:numId w:val="3"/>
      </w:numPr>
      <w:tabs>
        <w:tab w:val="clear" w:pos="1304"/>
        <w:tab w:val="left" w:pos="1701"/>
      </w:tabs>
      <w:ind w:left="1701" w:hanging="1701"/>
    </w:pPr>
    <w:rPr>
      <w:b/>
      <w:bCs/>
    </w:rPr>
  </w:style>
  <w:style w:type="character" w:customStyle="1" w:styleId="BodyTextChar">
    <w:name w:val="Body Text Char"/>
    <w:link w:val="BodyText"/>
    <w:rsid w:val="00102BBE"/>
    <w:rPr>
      <w:rFonts w:ascii="Arial" w:hAnsi="Arial"/>
      <w:lang w:val="en-GB" w:eastAsia="zh-CN"/>
    </w:rPr>
  </w:style>
  <w:style w:type="paragraph" w:customStyle="1" w:styleId="B5">
    <w:name w:val="B5"/>
    <w:basedOn w:val="List5"/>
    <w:rsid w:val="00102BBE"/>
    <w:pPr>
      <w:spacing w:after="180"/>
      <w:jc w:val="left"/>
    </w:pPr>
    <w:rPr>
      <w:lang w:eastAsia="en-US"/>
    </w:rPr>
  </w:style>
  <w:style w:type="paragraph" w:customStyle="1" w:styleId="EX">
    <w:name w:val="EX"/>
    <w:basedOn w:val="Normal"/>
    <w:rsid w:val="00102BBE"/>
    <w:pPr>
      <w:keepLines/>
      <w:spacing w:after="180"/>
      <w:ind w:left="1702" w:hanging="1418"/>
      <w:jc w:val="left"/>
    </w:pPr>
    <w:rPr>
      <w:lang w:eastAsia="en-US"/>
    </w:rPr>
  </w:style>
  <w:style w:type="paragraph" w:customStyle="1" w:styleId="EW">
    <w:name w:val="EW"/>
    <w:basedOn w:val="EX"/>
    <w:rsid w:val="00102BBE"/>
    <w:pPr>
      <w:spacing w:after="0"/>
    </w:pPr>
  </w:style>
  <w:style w:type="paragraph" w:customStyle="1" w:styleId="TAL">
    <w:name w:val="TAL"/>
    <w:basedOn w:val="Normal"/>
    <w:rsid w:val="00102BBE"/>
    <w:pPr>
      <w:keepNext/>
      <w:keepLines/>
      <w:spacing w:after="0"/>
      <w:jc w:val="left"/>
    </w:pPr>
    <w:rPr>
      <w:sz w:val="18"/>
      <w:lang w:eastAsia="en-US"/>
    </w:rPr>
  </w:style>
  <w:style w:type="paragraph" w:customStyle="1" w:styleId="TAC">
    <w:name w:val="TAC"/>
    <w:basedOn w:val="TAL"/>
    <w:rsid w:val="00102BBE"/>
    <w:pPr>
      <w:jc w:val="center"/>
    </w:pPr>
  </w:style>
  <w:style w:type="paragraph" w:customStyle="1" w:styleId="TAH">
    <w:name w:val="TAH"/>
    <w:basedOn w:val="TAC"/>
    <w:rsid w:val="00102BBE"/>
    <w:rPr>
      <w:b/>
    </w:rPr>
  </w:style>
  <w:style w:type="paragraph" w:customStyle="1" w:styleId="TAN">
    <w:name w:val="TAN"/>
    <w:basedOn w:val="TAL"/>
    <w:rsid w:val="00102BBE"/>
    <w:pPr>
      <w:ind w:left="851" w:hanging="851"/>
    </w:pPr>
  </w:style>
  <w:style w:type="paragraph" w:customStyle="1" w:styleId="TAR">
    <w:name w:val="TAR"/>
    <w:basedOn w:val="TAL"/>
    <w:rsid w:val="00102BBE"/>
    <w:pPr>
      <w:jc w:val="right"/>
    </w:pPr>
  </w:style>
  <w:style w:type="paragraph" w:customStyle="1" w:styleId="TH">
    <w:name w:val="TH"/>
    <w:basedOn w:val="Normal"/>
    <w:rsid w:val="00102BBE"/>
    <w:pPr>
      <w:keepNext/>
      <w:keepLines/>
      <w:spacing w:before="60" w:after="180"/>
      <w:jc w:val="center"/>
    </w:pPr>
    <w:rPr>
      <w:b/>
      <w:lang w:eastAsia="en-US"/>
    </w:rPr>
  </w:style>
  <w:style w:type="paragraph" w:customStyle="1" w:styleId="TF">
    <w:name w:val="TF"/>
    <w:basedOn w:val="TH"/>
    <w:rsid w:val="00102BBE"/>
    <w:pPr>
      <w:keepNext w:val="0"/>
      <w:spacing w:before="0" w:after="240"/>
    </w:pPr>
  </w:style>
  <w:style w:type="paragraph" w:customStyle="1" w:styleId="TT">
    <w:name w:val="TT"/>
    <w:basedOn w:val="Heading1"/>
    <w:next w:val="Normal"/>
    <w:rsid w:val="00102BBE"/>
    <w:pPr>
      <w:numPr>
        <w:numId w:val="0"/>
      </w:numPr>
      <w:ind w:left="1134" w:hanging="1134"/>
      <w:outlineLvl w:val="9"/>
    </w:pPr>
    <w:rPr>
      <w:rFonts w:cs="Times New Roman"/>
      <w:szCs w:val="20"/>
      <w:lang w:eastAsia="en-US"/>
    </w:rPr>
  </w:style>
  <w:style w:type="paragraph" w:customStyle="1" w:styleId="ZA">
    <w:name w:val="ZA"/>
    <w:rsid w:val="00102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2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2BB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02BB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02BBE"/>
  </w:style>
  <w:style w:type="paragraph" w:customStyle="1" w:styleId="ZH">
    <w:name w:val="ZH"/>
    <w:rsid w:val="00102BB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02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02BBE"/>
    <w:pPr>
      <w:framePr w:hRule="auto" w:wrap="notBeside" w:y="852"/>
    </w:pPr>
    <w:rPr>
      <w:i w:val="0"/>
      <w:sz w:val="40"/>
    </w:rPr>
  </w:style>
  <w:style w:type="paragraph" w:customStyle="1" w:styleId="ZU">
    <w:name w:val="ZU"/>
    <w:rsid w:val="00102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2BBE"/>
    <w:pPr>
      <w:framePr w:wrap="notBeside" w:y="16161"/>
    </w:pPr>
  </w:style>
  <w:style w:type="paragraph" w:customStyle="1" w:styleId="FP">
    <w:name w:val="FP"/>
    <w:basedOn w:val="Normal"/>
    <w:rsid w:val="00102BBE"/>
    <w:pPr>
      <w:spacing w:after="0"/>
      <w:jc w:val="left"/>
    </w:pPr>
    <w:rPr>
      <w:lang w:eastAsia="en-US"/>
    </w:rPr>
  </w:style>
  <w:style w:type="paragraph" w:customStyle="1" w:styleId="Observation">
    <w:name w:val="Observation"/>
    <w:basedOn w:val="Proposal"/>
    <w:qFormat/>
    <w:rsid w:val="00102BBE"/>
    <w:pPr>
      <w:numPr>
        <w:numId w:val="13"/>
      </w:numPr>
      <w:ind w:left="1701" w:hanging="1701"/>
    </w:pPr>
  </w:style>
  <w:style w:type="paragraph" w:styleId="TableofFigures">
    <w:name w:val="table of figures"/>
    <w:basedOn w:val="Normal"/>
    <w:next w:val="Normal"/>
    <w:uiPriority w:val="99"/>
    <w:rsid w:val="00102BBE"/>
    <w:pPr>
      <w:ind w:left="1418" w:hanging="1418"/>
      <w:jc w:val="left"/>
    </w:pPr>
    <w:rPr>
      <w:b/>
    </w:rPr>
  </w:style>
  <w:style w:type="paragraph" w:customStyle="1" w:styleId="Doc-text2">
    <w:name w:val="Doc-text2"/>
    <w:basedOn w:val="Normal"/>
    <w:link w:val="Doc-text2Char"/>
    <w:qFormat/>
    <w:rsid w:val="00102BB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02BBE"/>
    <w:rPr>
      <w:rFonts w:ascii="Arial" w:eastAsia="MS Mincho" w:hAnsi="Arial"/>
      <w:szCs w:val="24"/>
      <w:lang w:val="en-GB" w:eastAsia="en-GB"/>
    </w:rPr>
  </w:style>
  <w:style w:type="paragraph" w:customStyle="1" w:styleId="PL">
    <w:name w:val="PL"/>
    <w:link w:val="PLChar"/>
    <w:rsid w:val="00355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i-FI" w:eastAsia="fi-FI"/>
    </w:rPr>
  </w:style>
  <w:style w:type="character" w:customStyle="1" w:styleId="PLChar">
    <w:name w:val="PL Char"/>
    <w:link w:val="PL"/>
    <w:rsid w:val="0035538A"/>
    <w:rPr>
      <w:rFonts w:ascii="Courier New" w:hAnsi="Courier New"/>
      <w:noProof/>
      <w:sz w:val="16"/>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5NUHHDQN7SK2-1-185926</_dlc_DocId>
    <_dlc_DocIdUrl xmlns="08b2df90-05d3-4030-90d4-c9feeb4a1cd9">
      <Url>https://ericoll.internal.ericsson.com/sites/star/_layouts/DocIdRedir.aspx?ID=5NUHHDQN7SK2-1-185926</Url>
      <Description>5NUHHDQN7SK2-1-185926</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A6ADDEA9-6B92-4E8E-BF1A-BE0E057DD172}"/>
</file>

<file path=customXml/itemProps3.xml><?xml version="1.0" encoding="utf-8"?>
<ds:datastoreItem xmlns:ds="http://schemas.openxmlformats.org/officeDocument/2006/customXml" ds:itemID="{F95D044E-DEF4-44A0-9715-94CD62B64AD4}"/>
</file>

<file path=customXml/itemProps4.xml><?xml version="1.0" encoding="utf-8"?>
<ds:datastoreItem xmlns:ds="http://schemas.openxmlformats.org/officeDocument/2006/customXml" ds:itemID="{9B36E9F0-9DBD-40EA-AED0-3F87E0FBAA56}"/>
</file>

<file path=customXml/itemProps5.xml><?xml version="1.0" encoding="utf-8"?>
<ds:datastoreItem xmlns:ds="http://schemas.openxmlformats.org/officeDocument/2006/customXml" ds:itemID="{BEE23EE5-5864-4ADF-A848-295F30FA12F3}"/>
</file>

<file path=customXml/itemProps6.xml><?xml version="1.0" encoding="utf-8"?>
<ds:datastoreItem xmlns:ds="http://schemas.openxmlformats.org/officeDocument/2006/customXml" ds:itemID="{9F5946CB-8946-499C-8B44-7DE1A592D1D0}"/>
</file>

<file path=customXml/itemProps7.xml><?xml version="1.0" encoding="utf-8"?>
<ds:datastoreItem xmlns:ds="http://schemas.openxmlformats.org/officeDocument/2006/customXml" ds:itemID="{6BA12921-20F7-4AD8-BB1C-6F41C78E7843}"/>
</file>

<file path=docProps/app.xml><?xml version="1.0" encoding="utf-8"?>
<Properties xmlns="http://schemas.openxmlformats.org/officeDocument/2006/extended-properties" xmlns:vt="http://schemas.openxmlformats.org/officeDocument/2006/docPropsVTypes">
  <Template>R2-17xxxxx - Contribution Template</Template>
  <TotalTime>158</TotalTime>
  <Pages>4</Pages>
  <Words>1155</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Riikka Susitaival</cp:lastModifiedBy>
  <cp:revision>8</cp:revision>
  <cp:lastPrinted>2008-01-31T16:09:00Z</cp:lastPrinted>
  <dcterms:created xsi:type="dcterms:W3CDTF">2017-11-15T12:56:00Z</dcterms:created>
  <dcterms:modified xsi:type="dcterms:W3CDTF">2017-11-16T23:14:00Z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0e6b93a4-b664-422d-afda-ded6249d9a65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